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79" w:rsidRDefault="00B94E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E79" w:rsidRDefault="00B94E79">
      <w:pPr>
        <w:pStyle w:val="ConsPlusNormal"/>
        <w:jc w:val="both"/>
        <w:outlineLvl w:val="0"/>
      </w:pPr>
    </w:p>
    <w:p w:rsidR="00B94E79" w:rsidRDefault="00B94E79">
      <w:pPr>
        <w:pStyle w:val="ConsPlusNormal"/>
        <w:outlineLvl w:val="0"/>
      </w:pPr>
      <w:r>
        <w:t>Зарегистрировано в Минюсте России 26 февраля 2015 г. N 36212</w:t>
      </w:r>
    </w:p>
    <w:p w:rsidR="00B94E79" w:rsidRDefault="00B94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Title"/>
        <w:jc w:val="center"/>
      </w:pPr>
      <w:r>
        <w:t>ФЕДЕРАЛЬНАЯ СЛУЖБА ПО НАДЗОРУ В СФЕРЕ ЗАЩИТЫ</w:t>
      </w:r>
    </w:p>
    <w:p w:rsidR="00B94E79" w:rsidRDefault="00B94E79">
      <w:pPr>
        <w:pStyle w:val="ConsPlusTitle"/>
        <w:jc w:val="center"/>
      </w:pPr>
      <w:r>
        <w:t>ПРАВ ПОТРЕБИТЕЛЕЙ И БЛАГОПОЛУЧИЯ ЧЕЛОВЕКА</w:t>
      </w:r>
    </w:p>
    <w:p w:rsidR="00B94E79" w:rsidRDefault="00B94E79">
      <w:pPr>
        <w:pStyle w:val="ConsPlusTitle"/>
        <w:jc w:val="center"/>
      </w:pPr>
    </w:p>
    <w:p w:rsidR="00B94E79" w:rsidRDefault="00B94E79">
      <w:pPr>
        <w:pStyle w:val="ConsPlusTitle"/>
        <w:jc w:val="center"/>
      </w:pPr>
      <w:r>
        <w:t>ГЛАВНЫЙ ГОСУДАРСТВЕННЫЙ САНИТАРНЫЙ ВРАЧ</w:t>
      </w:r>
    </w:p>
    <w:p w:rsidR="00B94E79" w:rsidRDefault="00B94E79">
      <w:pPr>
        <w:pStyle w:val="ConsPlusTitle"/>
        <w:jc w:val="center"/>
      </w:pPr>
      <w:r>
        <w:t>РОССИЙСКОЙ ФЕДЕРАЦИИ</w:t>
      </w:r>
    </w:p>
    <w:p w:rsidR="00B94E79" w:rsidRDefault="00B94E79">
      <w:pPr>
        <w:pStyle w:val="ConsPlusTitle"/>
        <w:jc w:val="center"/>
      </w:pPr>
    </w:p>
    <w:p w:rsidR="00B94E79" w:rsidRDefault="00B94E79">
      <w:pPr>
        <w:pStyle w:val="ConsPlusTitle"/>
        <w:jc w:val="center"/>
      </w:pPr>
      <w:r>
        <w:t>ПОСТАНОВЛЕНИЕ</w:t>
      </w:r>
    </w:p>
    <w:p w:rsidR="00B94E79" w:rsidRDefault="00B94E79">
      <w:pPr>
        <w:pStyle w:val="ConsPlusTitle"/>
        <w:jc w:val="center"/>
      </w:pPr>
      <w:r>
        <w:t>от 22 сентября 2014 г. N 58</w:t>
      </w:r>
    </w:p>
    <w:p w:rsidR="00B94E79" w:rsidRDefault="00B94E79">
      <w:pPr>
        <w:pStyle w:val="ConsPlusTitle"/>
        <w:jc w:val="center"/>
      </w:pPr>
    </w:p>
    <w:p w:rsidR="00B94E79" w:rsidRDefault="00B94E79">
      <w:pPr>
        <w:pStyle w:val="ConsPlusTitle"/>
        <w:jc w:val="center"/>
      </w:pPr>
      <w:r>
        <w:t>ОБ УТВЕРЖДЕНИИ СП 3.5.3.3223-14</w:t>
      </w:r>
    </w:p>
    <w:p w:rsidR="00B94E79" w:rsidRDefault="00B94E79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B94E79" w:rsidRDefault="00B94E79">
      <w:pPr>
        <w:pStyle w:val="ConsPlusTitle"/>
        <w:jc w:val="center"/>
      </w:pPr>
      <w:r>
        <w:t>И ПРОВЕДЕНИЮ ДЕРАТИЗАЦИОННЫХ МЕРОПРИЯТИЙ"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4079; N 48, ст. 6165, 2014, N 26 (ч. I), ст. 3366, ст. 3377)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hyperlink w:anchor="P38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(приложение).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июля 2002 года N 24 "О введении в действие санитарно-эпидемиологических правил СП 3.5.3.1129-02"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 3663).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</w:pPr>
      <w:r>
        <w:t>А.Ю.ПОПОВА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  <w:outlineLvl w:val="0"/>
      </w:pPr>
      <w:r>
        <w:t>Приложение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</w:pPr>
      <w:r>
        <w:t>Утверждены</w:t>
      </w:r>
    </w:p>
    <w:p w:rsidR="00B94E79" w:rsidRDefault="00B94E79">
      <w:pPr>
        <w:pStyle w:val="ConsPlusNormal"/>
        <w:jc w:val="right"/>
      </w:pPr>
      <w:r>
        <w:t>постановлением Главного</w:t>
      </w:r>
    </w:p>
    <w:p w:rsidR="00B94E79" w:rsidRDefault="00B94E79">
      <w:pPr>
        <w:pStyle w:val="ConsPlusNormal"/>
        <w:jc w:val="right"/>
      </w:pPr>
      <w:r>
        <w:t>государственного санитарного</w:t>
      </w:r>
    </w:p>
    <w:p w:rsidR="00B94E79" w:rsidRDefault="00B94E79">
      <w:pPr>
        <w:pStyle w:val="ConsPlusNormal"/>
        <w:jc w:val="right"/>
      </w:pPr>
      <w:r>
        <w:lastRenderedPageBreak/>
        <w:t>врача Российской Федерации</w:t>
      </w:r>
    </w:p>
    <w:p w:rsidR="00B94E79" w:rsidRDefault="00B94E79">
      <w:pPr>
        <w:pStyle w:val="ConsPlusNormal"/>
        <w:jc w:val="right"/>
      </w:pPr>
      <w:r>
        <w:t>от 22.09.2014 N 58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Title"/>
        <w:jc w:val="center"/>
      </w:pPr>
      <w:r>
        <w:t>САНИТАРНО-ЭПИДЕМИОЛОГИЧЕСКИЕ ТРЕБОВАНИЯ</w:t>
      </w:r>
    </w:p>
    <w:p w:rsidR="00B94E79" w:rsidRDefault="00B94E79">
      <w:pPr>
        <w:pStyle w:val="ConsPlusTitle"/>
        <w:jc w:val="center"/>
      </w:pPr>
      <w:r>
        <w:t>К ОРГАНИЗАЦИИ И ПРОВЕДЕНИЮ ДЕРАТИЗАЦИОННЫХ МЕРОПРИЯТИЙ</w:t>
      </w:r>
    </w:p>
    <w:p w:rsidR="00B94E79" w:rsidRDefault="00B94E79">
      <w:pPr>
        <w:pStyle w:val="ConsPlusTitle"/>
        <w:jc w:val="center"/>
      </w:pPr>
    </w:p>
    <w:p w:rsidR="00B94E79" w:rsidRDefault="00B94E79">
      <w:pPr>
        <w:pStyle w:val="ConsPlusTitle"/>
        <w:jc w:val="center"/>
      </w:pPr>
      <w:bookmarkStart w:id="0" w:name="P38"/>
      <w:bookmarkEnd w:id="0"/>
      <w:r>
        <w:t>Санитарно-эпидемиологические правила</w:t>
      </w:r>
    </w:p>
    <w:p w:rsidR="00B94E79" w:rsidRDefault="00B94E79">
      <w:pPr>
        <w:pStyle w:val="ConsPlusTitle"/>
        <w:jc w:val="center"/>
      </w:pPr>
      <w:r>
        <w:t>СП 3.5.3.3223-14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I. Область применения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1.1. Настоящие санитарные правила устанавливают обязательные санитарно-эпидемиологические требования к организации и проведению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1.3. Органы, уполномоченные осуществлять федеральный государственный санитарно-эпидемиологический надзор, обеспечивают контроль за организацией и проведением дератизационных мероприятий.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II. Общие положения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2.1. Дератизационные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2.2. 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дератизационные мероприятия, направленные на борьбу с грызунами (серые и черные крысы, мыши, полевки и другие).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2.3.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дератизационные мероприятия. В рекреационных зонах населенного пункта, природных и антропургических очагах в течение года должны проводиться систематические дератизационные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Объектами, имеющими особое эпидемиологическое значение, являются: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предприятия пищевой промышленности, общественного питания и организации торговли продовольственными товарами;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- жилые здания, предназначенные для постоянного проживания или временного пребывания </w:t>
      </w:r>
      <w:r>
        <w:lastRenderedPageBreak/>
        <w:t>людей, в том числе гостиницы, общежития;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медицинские организации;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санаторно-курортные организации, дома отдыха, пансионаты и другие;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образовательные организации;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организации, осуществляющие горячее водоснабжение, организации, осуществляющие холодное водоснабжение и (или) водоотведение;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объекты коммунально-бытового назначения;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объекты и территории организаций, занимающихся утилизацией бытовых отходов, кладбища, очистные сооружения;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таможенные терминалы;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пункты пропуска через государственную границу Российской Федерации;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железнодорожные вокзалы, морские (речные, озерные) вокзалы и порты, автовокзалы, аэропорты;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суда морские, речные, воздушные;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железнодорожный транспорт, в том числе метрополитен;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специализированный автотранспорт.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2.4. Особое эпидемиологическое значение имеют территории активных природно-антропургических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2.5. Дератизационные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III. Требования к организации и проведению</w:t>
      </w:r>
    </w:p>
    <w:p w:rsidR="00B94E79" w:rsidRDefault="00B94E79">
      <w:pPr>
        <w:pStyle w:val="ConsPlusNormal"/>
        <w:jc w:val="center"/>
      </w:pPr>
      <w:r>
        <w:t>дератизационных мероприятий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3.1. Организацию и проведение дератизационных мероприятий обеспечивают: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органы государственной власти субъектов Российской Федерации, органы местного самоуправления;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юридические лица;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граждане, в том числе индивидуальные предприниматели.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lastRenderedPageBreak/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дератизационных обработок жилых зданий, помещений, сооружений, балансодержателями которых они являются, и прилегающей к ним территории;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3.3. Юридические лица и индивидуальные предприниматели должны обеспечивать: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определение объемов дератизации (площадь строения и территории);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проведение дератизационных мероприятий на эксплуатируемых объектах, в том числе: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профилактические мероприятия, предупреждающие заселение объектов грызунами;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3.4. Обследование объектов и прилегающей к ним территории, транспортных средств, рекреационной зоны населенного пункта, природных и антропургических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3.5. При обследовании объектов применяются субъективная оценка и объективные методы обнаружения грызунов.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Субъективная оценка включает в себя выявление следов жизнедеятельности грызунов - свежие норы, помет или погрызы, наличие жалоб на грызунов, характер и масштабы причиняемого ими вреда, определение периодичности и ритма появления грызунов на объекте.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3.6. По результатам обследования оценивается состояние объектов и прилегающей к нему территории.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Объект и территория считаются заселенной грызунами при наличии хотя бы одного из следующих признаков: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а) наличие отловленного грызуна;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б) обнаружение следов грызунов на контрольно-пылевых (следовых) площадках;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в) открытое перемещение грызунов по объекту или территории;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г) наличие жилых нор, свежего помета, повреждение продуктов, тары и других предметов;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д) поедание грызунами разложенной приманки.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lastRenderedPageBreak/>
        <w:t>Объект считается свободным от грызунов, если отсутствуют все вышеперечисленные признаки.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3.7. Профилактические мероприятия по защите объекта от грызунов подразделяются на инженерно-технические, санитарно-гигиенические и агролесотехнические.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3.8. Инженерно-технические мероприятия по защите объекта от грызунов включают: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использование устройств и конструкций, обеспечивающих самостоятельное и плотное закрывание дверей;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устройство металлической сетки (решетки) в местах выхода вентиляционных отверстий, стока воды;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герметизацию с использованием металлической сетки мест прохода коммуникаций в перекрытиях, стенах, ограждениях;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защиту порогов и нижней части дверей материалами, устойчивыми к повреждению грызунами;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использование профилактических охранно-защитных дератизационных систем (ОЗДС) на базе электрических, ультразвуковых или механических устройств, безопасных для человека;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создание свободного доступа к подсобным помещениям (мусорокамер, подвалов, лестничных клеток, чердаков), помещений для хранения пищевых продуктов и других, с целью исключения условий для укрытия грызунов.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дератизационными системами, истребительные мероприятия проводятся по результатам оценки заселенности строений грызунами.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3.10 Инженерные средства дератизации устанавливают на путях миграции грызунов, в местах кормления, гнездования, подхода к воде.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3.11. Санитарно-гигиенические мероприятия включают: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очистку мусорокамер в жилых домах не реже 1 раза в сутки с применением моющих и дезинфицирующих средств;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асфальтирование или бетонирование контейнерных площадок для сбора мусора и содержание их в чистоте;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использование плотно закрывающихся емкостей для пищевых и бытовых отходов и регулярная их очистка;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lastRenderedPageBreak/>
        <w:t>- ежедневный вывоз мусора с дворовых территорий;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проведение других мероприятий, соответствующих профилю объекта, предусмотренных законодательством Российской Федерации и санитарными правилами.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3.12. Агролесотехнические мероприятия включают: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работы по уничтожению сорной растительности на пустырях, заброшенных территориях населенных пунктов;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уничтожение сорняков и сбор опавших листьев в городских парках, скверах, садах и питомниках растений;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санитарную очистку лесопарковых территорий;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санитарные рубки и рубки ухода в городских лесопарковых и пригородных лесных зонах и другие.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3.13. Показанием к организации и проведению истребительных дератизационных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погрызы и порча продуктов, свежий помет).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3.14. Планирование и проведение истребительных дератизационных мероприятий осуществляется с учетом: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санитарно-эпидемиологической обстановки - регистрации болезней, общих для человека и животных, эпизоотий;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типа природного очага - его ландшафтной и биоценотической структуры, других его особенностей;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свойств родентицидных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типа обрабатываемых объектов - категории, этажности, санитарно-технического состояния, расположения.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3.15. Дератизационные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Барьерная дератизация проводится в периоды наибольшей миграционной активности грызунов, а на объектах, имеющих особое эпидемиологическое значение, - круглый год путем расстановки контрольно-истребительных площадок (КИП) по периметру территории (через 20 м вдоль ограждения), строений (через 10 м вдоль отмостки) и на незастроенных участках (из расчета 1 КИП на 100 кв. м). Расстановка КИП должна осуществляться с учетом безопасности для человека.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3.16. В природных и антропургических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</w:t>
      </w:r>
      <w:r>
        <w:lastRenderedPageBreak/>
        <w:t>данного очага.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дератизационные мероприятия.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ее окончания.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Основными показателями эффективности истребительных работ являются: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в зданиях и строениях - процент площади, освобожденной от грызунов в данном месяце,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3.18. Эффективной считается дератизация, обеспечивающая: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3.19. Порядок проведения профилактических и истребительных мероприятий на отдельных объектах населенного пункта приведен в </w:t>
      </w:r>
      <w:hyperlink w:anchor="P187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в соответствии с законодательством Российской Федерации (</w:t>
      </w:r>
      <w:hyperlink r:id="rId9" w:history="1">
        <w:r>
          <w:rPr>
            <w:color w:val="0000FF"/>
          </w:rPr>
          <w:t>ст. 34</w:t>
        </w:r>
      </w:hyperlink>
      <w:r>
        <w:t xml:space="preserve"> Федерального закона от 30.03.1999 N 52-ФЗ "О санитарно-эпидемиологическом благополучии населения").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IV. Требования к приготовлению родентицидов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4.1. В организациях, осуществляющих дератизационные мероприятия, для приготовления родентицидных приманок выделяются производственные, складские и бытовые помещения.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4.1.1. Приготовление и расфасовка родентицидных приманок и других форм осуществляются в производственных помещениях.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легкомоющимися материалами (кафель, линолеум, масляная краска и другими). Рабочие столы должны оборудоваться легкомоющимся материалом - кафелем, жестью оцинкованной, </w:t>
      </w:r>
      <w:r>
        <w:lastRenderedPageBreak/>
        <w:t>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Производственное помещение для приготовления родентицидных приманок должно быть оборудовано отдельным входом. Приготовление и фасовка родентицидных приманок вне производственного помещения не допускается.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Склад должен быть оборудован водопроводом, канализацией, металлическими стеллажами. Полы и стены отделываются легкомоющимися материалами (кафель, линолеум, масляная краска). Рабочие столы также должны покрываться легкомоющимся материалом - кафелем, жестью оцинкованной, нержавеющей сталью, пластиком.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4.1.3. Бытовые помещения, предназначенные для персонала, осуществляющего дератизационные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</w:t>
      </w:r>
      <w:hyperlink w:anchor="P259" w:history="1">
        <w:r>
          <w:rPr>
            <w:color w:val="0000FF"/>
          </w:rPr>
          <w:t>приложение 2</w:t>
        </w:r>
      </w:hyperlink>
      <w:r>
        <w:t xml:space="preserve"> к настоящим санитарным правилам).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4.2. При изготовлении приманок для грызунов используются родентициды, прошедшие государственную регистрацию.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4.3. Лица, осуществляющие дератизационные работы, обязаны иметь профессиональную подготовку и повышать квалификацию не реже одного раза в пять лет.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V. Требования к использованию родентицидов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5.1. При проведении систематических дератизационных мероприятий используются родентициды на основе антикоагулянтов, а также физические средства дератизации.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5.2. При барьерных, сплошных и очаговых дератизационных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5.3. Организации, занимающиеся дезинфекционной деятельностью, при наличии эпидемиологических и санитарно-гигиенических показаний применяют родентициды острого действия.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Родентицидные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5.5. Места раскладки родентицидных средств контролируются в течение всего периода </w:t>
      </w:r>
      <w:r>
        <w:lastRenderedPageBreak/>
        <w:t>проведения дератизационных мероприятий. Контроль прекращается, если родентицидные средства повсеместно остаются нетронутыми более двух недель, что указывает на исчезновение грызунов.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5.6. Не допускается выдача (передача) родентицидов лицам, не прошедшим соответствующую профессиональную подготовку.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5.8. Количество необходимых родентицидов, средств контроля и учета рассчитывается в соответствии с </w:t>
      </w:r>
      <w:hyperlink w:anchor="P286" w:history="1">
        <w:r>
          <w:rPr>
            <w:color w:val="0000FF"/>
          </w:rPr>
          <w:t>приложением 3</w:t>
        </w:r>
      </w:hyperlink>
      <w:r>
        <w:t xml:space="preserve"> к настоящим санитарным правилам.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1"/>
      </w:pPr>
      <w:r>
        <w:t>VI. Производственный контроль в организации, осуществляющей</w:t>
      </w:r>
    </w:p>
    <w:p w:rsidR="00B94E79" w:rsidRDefault="00B94E79">
      <w:pPr>
        <w:pStyle w:val="ConsPlusNormal"/>
        <w:jc w:val="center"/>
      </w:pPr>
      <w:r>
        <w:t>дератизационные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6.1. В организации, осуществляющей дератизационные мероприятия и приготовление родентицидов, производственный контроль осуществляется обученным работником.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6.2. Организации, осуществляющие дератизационные мероприятия или приготовление родентицидов и родентицидных приманок, должны иметь сопроводительные документы на продукцию, используемую для приготовления приманок, а также документы, подтверждающие прохождение государственной регистрации родентицидов.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  <w:outlineLvl w:val="1"/>
      </w:pPr>
      <w:r>
        <w:t>Приложение 1</w:t>
      </w:r>
    </w:p>
    <w:p w:rsidR="00B94E79" w:rsidRDefault="00B94E79">
      <w:pPr>
        <w:pStyle w:val="ConsPlusNormal"/>
        <w:jc w:val="right"/>
      </w:pPr>
      <w:r>
        <w:t>к СП 3.5.3.3223-14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</w:pPr>
      <w:bookmarkStart w:id="1" w:name="P187"/>
      <w:bookmarkEnd w:id="1"/>
      <w:r>
        <w:t>ПОРЯДОК</w:t>
      </w:r>
    </w:p>
    <w:p w:rsidR="00B94E79" w:rsidRDefault="00B94E79">
      <w:pPr>
        <w:pStyle w:val="ConsPlusNormal"/>
        <w:jc w:val="center"/>
      </w:pPr>
      <w:r>
        <w:t>ПРОВЕДЕНИЯ ПРОФИЛАКТИЧЕСКИХ И ИСТРЕБИТЕЛЬНЫХ МЕРОПРИЯТИЙ</w:t>
      </w:r>
    </w:p>
    <w:p w:rsidR="00B94E79" w:rsidRDefault="00B94E79">
      <w:pPr>
        <w:pStyle w:val="ConsPlusNormal"/>
        <w:jc w:val="center"/>
      </w:pPr>
      <w:r>
        <w:t>НА ОТДЕЛЬНЫХ ОБЪЕКТАХ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2"/>
      </w:pPr>
      <w:r>
        <w:t>Жилые помещения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В жилых помещениях серые крысы встречаются преимущественно в подвалах и мусорокамерах, а домовые мыши заселяют квартиры и другие подсобные помещения.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Профилактические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Отверстия между мусорокамерой и подвалом следует затянуть металлической сеткой или зацементировать. Лестничные марши содержать в чистоте, регулярно убирать просыпи мусора около люков ствола. Очистку мусорокамер в жилых домах следует проводить при их заполненности не более чем на 2/3 и с периодичностью не реже чем 1 раз в сутки.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В качестве профилактических устройств можно использовать охранно-защитные дератизационные системы (ОЗДС) на базе электрических дератизаторов, ультразвуковых или </w:t>
      </w:r>
      <w:r>
        <w:lastRenderedPageBreak/>
        <w:t>механических устройств.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Истребительные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В помещениях родентициды размещаются в местах обитания крыс и домовых мышей в соответствии с инструкцией по применению. В помещениях емкости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2"/>
      </w:pPr>
      <w:r>
        <w:t>Предприятия пищевой промышленности, общественного питания</w:t>
      </w:r>
    </w:p>
    <w:p w:rsidR="00B94E79" w:rsidRDefault="00B94E79">
      <w:pPr>
        <w:pStyle w:val="ConsPlusNormal"/>
        <w:jc w:val="center"/>
      </w:pPr>
      <w:r>
        <w:t>и организации торговли продовольственными товарами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Дератизационные мероприятия проводятся во всех строениях и на незастроенной территории.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Профилактические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Истребительные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Препаративные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Для улучшения поедаемости приманок их дополнительно обрабатывают аттрактантами (мукой, подсолнечным маслом, крахмалом и другим). Используются родентицидные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Липкие родентицидные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родентицидные препаративные формы, долговременные точки отравления (ДТО), контрольно-истребительные площадки (КИПы), механические устройства, ультразвуковые излучатели, электрические барьеры типа ОЗДС.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Необходимо соблюдать особые меры предосторожности на этих объектах, размещать препаративные формы родентицидов только в стационарных приманочных станциях.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На предприятиях пищевой промышленности, общественного питания и организации торговли </w:t>
      </w:r>
      <w:r>
        <w:lastRenderedPageBreak/>
        <w:t>продовольственными товарами применяются препаративные формы родентицидов, исключающие разнос их грызунами и попадание в продукты питания.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2"/>
      </w:pPr>
      <w:r>
        <w:t>Медицинские и образовательные организации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С учетом повышенных требований к безопасности и санитарно-гигиеническому состоянию этих объектов, дератизационные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Профилактические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 xml:space="preserve"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</w:t>
      </w:r>
      <w:hyperlink r:id="rId1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Истребительные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(тесто- или жиросодержащими).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Используются физические средства - клеевые ловушки, давилки, отпугивающие устройства типа ОЗДС.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препаративные родентицидные формы, исключающие разнос их грызунами и попадание на продукты питания, медикаменты и предметы быта.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2"/>
      </w:pPr>
      <w:r>
        <w:t>Организации водоснабжения, водоотведения</w:t>
      </w:r>
    </w:p>
    <w:p w:rsidR="00B94E79" w:rsidRDefault="00B94E79">
      <w:pPr>
        <w:pStyle w:val="ConsPlusNormal"/>
        <w:jc w:val="center"/>
      </w:pPr>
      <w:r>
        <w:t>и очистные сооружения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Профилактическим и истребительным мероприятиям на этих объектах подлежит вся их площадь.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  <w:outlineLvl w:val="3"/>
      </w:pPr>
      <w:r>
        <w:t>Истребительные мероприятия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бесприманочных способов - липкие родентицидные покрытия, тампонирование. При этом необходимо исключить попадание средств дератизации в воду.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lastRenderedPageBreak/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родентицидного покрытия на основе антикоагулянтов.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  <w:outlineLvl w:val="1"/>
      </w:pPr>
      <w:r>
        <w:t>Приложение 2</w:t>
      </w:r>
    </w:p>
    <w:p w:rsidR="00B94E79" w:rsidRDefault="00B94E79">
      <w:pPr>
        <w:pStyle w:val="ConsPlusNormal"/>
        <w:jc w:val="right"/>
      </w:pPr>
      <w:r>
        <w:t>к СП 3.5.3.3223-14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</w:pPr>
      <w:bookmarkStart w:id="2" w:name="P259"/>
      <w:bookmarkEnd w:id="2"/>
      <w:r>
        <w:t>МЕРЫ</w:t>
      </w:r>
    </w:p>
    <w:p w:rsidR="00B94E79" w:rsidRDefault="00B94E79">
      <w:pPr>
        <w:pStyle w:val="ConsPlusNormal"/>
        <w:jc w:val="center"/>
      </w:pPr>
      <w:r>
        <w:t>БЕЗОПАСНОСТИ ЛИЦ, ЗАНЯТЫХ ПРИМЕНЕНИЕМ, ХРАНЕНИЕМ,</w:t>
      </w:r>
    </w:p>
    <w:p w:rsidR="00B94E79" w:rsidRDefault="00B94E79">
      <w:pPr>
        <w:pStyle w:val="ConsPlusNormal"/>
        <w:jc w:val="center"/>
      </w:pPr>
      <w:r>
        <w:t>ПРИГОТОВЛЕНИЕМ, ТРАНСПОРТИРОВАНИЕМ РОДЕНТИЦИДОВ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ind w:firstLine="540"/>
        <w:jc w:val="both"/>
      </w:pPr>
      <w:r>
        <w:t>1. Со всеми вновь поступившими на работу проводится инструктаж по технике безопасности.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45 - 50 минут необходимо делать перерыв на 10 - 15 минут, находясь на свежем воздухе.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работа проводится в спецодежде;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работа с грызунами проводится только в защищенных рукавицах или с помощью корнцангов, пинцетов;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 xml:space="preserve">- необходимо остерегаться укусов грызунов, случайного попадания их экскретов на кожу или </w:t>
      </w:r>
      <w:r>
        <w:lastRenderedPageBreak/>
        <w:t>в пищу;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в очагах трансмиссивных инфекций должны соблюдаться меры защиты от нападения членистоногих переносчиков;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- после контакта с грызунами или их экскретами применяются кожные антисептики.</w:t>
      </w:r>
    </w:p>
    <w:p w:rsidR="00B94E79" w:rsidRDefault="00B94E79">
      <w:pPr>
        <w:pStyle w:val="ConsPlusNormal"/>
        <w:spacing w:before="220"/>
        <w:ind w:firstLine="540"/>
        <w:jc w:val="both"/>
      </w:pPr>
      <w: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right"/>
        <w:outlineLvl w:val="1"/>
      </w:pPr>
      <w:r>
        <w:t>Приложение 3</w:t>
      </w:r>
    </w:p>
    <w:p w:rsidR="00B94E79" w:rsidRDefault="00B94E79">
      <w:pPr>
        <w:pStyle w:val="ConsPlusNormal"/>
        <w:jc w:val="right"/>
      </w:pPr>
      <w:r>
        <w:t>к СП 3.5.3.3223-14</w:t>
      </w: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center"/>
      </w:pPr>
      <w:bookmarkStart w:id="3" w:name="P286"/>
      <w:bookmarkEnd w:id="3"/>
      <w:r>
        <w:t>ПРИМЕРНЫЕ НОРМАТИВЫ</w:t>
      </w:r>
    </w:p>
    <w:p w:rsidR="00B94E79" w:rsidRDefault="00B94E79">
      <w:pPr>
        <w:pStyle w:val="ConsPlusNormal"/>
        <w:jc w:val="center"/>
      </w:pPr>
      <w:r>
        <w:t>ИСПОЛЬЗОВАНИЯ СРЕДСТВ ОСУЩЕСТВЛЕНИЯ</w:t>
      </w:r>
    </w:p>
    <w:p w:rsidR="00B94E79" w:rsidRDefault="00B94E79">
      <w:pPr>
        <w:pStyle w:val="ConsPlusNormal"/>
        <w:jc w:val="center"/>
      </w:pPr>
      <w:r>
        <w:t>ДЕРАТИЗАЦИОННЫХ МЕРОПРИЯТИЙ</w:t>
      </w:r>
    </w:p>
    <w:p w:rsidR="00B94E79" w:rsidRDefault="00B94E79">
      <w:pPr>
        <w:pStyle w:val="ConsPlusNormal"/>
        <w:jc w:val="both"/>
      </w:pPr>
    </w:p>
    <w:p w:rsidR="00B94E79" w:rsidRDefault="00B94E79">
      <w:pPr>
        <w:sectPr w:rsidR="00B94E79" w:rsidSect="00847B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92"/>
        <w:gridCol w:w="1686"/>
        <w:gridCol w:w="180"/>
        <w:gridCol w:w="1620"/>
        <w:gridCol w:w="1980"/>
        <w:gridCol w:w="1980"/>
      </w:tblGrid>
      <w:tr w:rsidR="00B94E79"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B94E79" w:rsidRDefault="00B94E79">
            <w:pPr>
              <w:pStyle w:val="ConsPlusNormal"/>
              <w:ind w:firstLine="283"/>
              <w:outlineLvl w:val="2"/>
            </w:pPr>
            <w:r>
              <w:lastRenderedPageBreak/>
              <w:t>1. Использование средств контроля или учета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</w:tcPr>
          <w:p w:rsidR="00B94E79" w:rsidRDefault="00B94E79">
            <w:pPr>
              <w:pStyle w:val="ConsPlusNormal"/>
              <w:jc w:val="center"/>
            </w:pPr>
            <w:r>
              <w:t>Объект обследования</w:t>
            </w:r>
          </w:p>
        </w:tc>
        <w:tc>
          <w:tcPr>
            <w:tcW w:w="2558" w:type="dxa"/>
            <w:gridSpan w:val="3"/>
          </w:tcPr>
          <w:p w:rsidR="00B94E79" w:rsidRDefault="00B94E79">
            <w:pPr>
              <w:pStyle w:val="ConsPlusNormal"/>
              <w:jc w:val="center"/>
            </w:pPr>
            <w:r>
              <w:t>Объем обследования</w:t>
            </w:r>
          </w:p>
        </w:tc>
        <w:tc>
          <w:tcPr>
            <w:tcW w:w="5580" w:type="dxa"/>
            <w:gridSpan w:val="3"/>
          </w:tcPr>
          <w:p w:rsidR="00B94E79" w:rsidRDefault="00B94E79">
            <w:pPr>
              <w:pStyle w:val="ConsPlusNormal"/>
              <w:jc w:val="center"/>
            </w:pPr>
            <w:r>
              <w:t>Количество средств контроля и учета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  <w:vAlign w:val="center"/>
          </w:tcPr>
          <w:p w:rsidR="00B94E79" w:rsidRDefault="00B94E79">
            <w:pPr>
              <w:pStyle w:val="ConsPlusNormal"/>
            </w:pPr>
            <w:r>
              <w:t>Населенные пункты</w:t>
            </w:r>
          </w:p>
        </w:tc>
        <w:tc>
          <w:tcPr>
            <w:tcW w:w="2558" w:type="dxa"/>
            <w:gridSpan w:val="3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10 до 50 м2</w:t>
            </w:r>
          </w:p>
        </w:tc>
        <w:tc>
          <w:tcPr>
            <w:tcW w:w="5580" w:type="dxa"/>
            <w:gridSpan w:val="3"/>
            <w:vAlign w:val="center"/>
          </w:tcPr>
          <w:p w:rsidR="00B94E79" w:rsidRDefault="00B94E79">
            <w:pPr>
              <w:pStyle w:val="ConsPlusNormal"/>
            </w:pPr>
            <w:r>
              <w:t>1 контрольно-пылевая (следовая) площадка на 1 ночь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B94E79" w:rsidRDefault="00B94E79"/>
        </w:tc>
        <w:tc>
          <w:tcPr>
            <w:tcW w:w="2558" w:type="dxa"/>
            <w:gridSpan w:val="3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100 м2</w:t>
            </w:r>
          </w:p>
        </w:tc>
        <w:tc>
          <w:tcPr>
            <w:tcW w:w="5580" w:type="dxa"/>
            <w:gridSpan w:val="3"/>
            <w:vAlign w:val="center"/>
          </w:tcPr>
          <w:p w:rsidR="00B94E79" w:rsidRDefault="00B94E79">
            <w:pPr>
              <w:pStyle w:val="ConsPlusNormal"/>
            </w:pPr>
            <w:r>
              <w:t>от 5 до 10 ловушек "Геро" на 1 ночь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Align w:val="center"/>
          </w:tcPr>
          <w:p w:rsidR="00B94E79" w:rsidRDefault="00B94E79">
            <w:pPr>
              <w:pStyle w:val="ConsPlusNormal"/>
            </w:pPr>
            <w:r>
              <w:t>Открытые участки</w:t>
            </w:r>
          </w:p>
        </w:tc>
        <w:tc>
          <w:tcPr>
            <w:tcW w:w="2558" w:type="dxa"/>
            <w:gridSpan w:val="3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500 м2</w:t>
            </w:r>
          </w:p>
        </w:tc>
        <w:tc>
          <w:tcPr>
            <w:tcW w:w="5580" w:type="dxa"/>
            <w:gridSpan w:val="3"/>
            <w:vAlign w:val="center"/>
          </w:tcPr>
          <w:p w:rsidR="00B94E79" w:rsidRDefault="00B94E79">
            <w:pPr>
              <w:pStyle w:val="ConsPlusNormal"/>
            </w:pPr>
            <w:r>
              <w:t>линейка из 100 ловушек "Геро" на 1 ночь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82" w:type="dxa"/>
            <w:gridSpan w:val="7"/>
            <w:vAlign w:val="center"/>
          </w:tcPr>
          <w:p w:rsidR="00B94E79" w:rsidRDefault="00B94E79">
            <w:pPr>
              <w:pStyle w:val="ConsPlusNormal"/>
              <w:ind w:firstLine="283"/>
              <w:outlineLvl w:val="2"/>
            </w:pPr>
            <w:r>
              <w:t>2. Использование приманки для разовой обработки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 w:val="restart"/>
          </w:tcPr>
          <w:p w:rsidR="00B94E79" w:rsidRDefault="00B94E79">
            <w:pPr>
              <w:pStyle w:val="ConsPlusNormal"/>
              <w:jc w:val="center"/>
            </w:pPr>
            <w:r>
              <w:t>Формы родентицидов</w:t>
            </w:r>
          </w:p>
        </w:tc>
        <w:tc>
          <w:tcPr>
            <w:tcW w:w="7446" w:type="dxa"/>
            <w:gridSpan w:val="5"/>
          </w:tcPr>
          <w:p w:rsidR="00B94E79" w:rsidRDefault="00B94E79">
            <w:pPr>
              <w:pStyle w:val="ConsPlusNormal"/>
              <w:jc w:val="center"/>
            </w:pPr>
            <w:r>
              <w:t>Нормы расхода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B94E79" w:rsidRDefault="00B94E79"/>
        </w:tc>
        <w:tc>
          <w:tcPr>
            <w:tcW w:w="3486" w:type="dxa"/>
            <w:gridSpan w:val="3"/>
          </w:tcPr>
          <w:p w:rsidR="00B94E79" w:rsidRDefault="00B94E79">
            <w:pPr>
              <w:pStyle w:val="ConsPlusNormal"/>
              <w:jc w:val="center"/>
            </w:pPr>
            <w:r>
              <w:t>на объектах населенного пункта на 100 м2</w:t>
            </w:r>
          </w:p>
        </w:tc>
        <w:tc>
          <w:tcPr>
            <w:tcW w:w="3960" w:type="dxa"/>
            <w:gridSpan w:val="2"/>
          </w:tcPr>
          <w:p w:rsidR="00B94E79" w:rsidRDefault="00B94E79">
            <w:pPr>
              <w:pStyle w:val="ConsPlusNormal"/>
              <w:jc w:val="center"/>
            </w:pPr>
            <w:r>
              <w:t>в открытых местообитаниях грызунов на 1 га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B94E79" w:rsidRDefault="00B94E79"/>
        </w:tc>
        <w:tc>
          <w:tcPr>
            <w:tcW w:w="1686" w:type="dxa"/>
          </w:tcPr>
          <w:p w:rsidR="00B94E79" w:rsidRDefault="00B94E79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800" w:type="dxa"/>
            <w:gridSpan w:val="2"/>
          </w:tcPr>
          <w:p w:rsidR="00B94E79" w:rsidRDefault="00B94E79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  <w:tc>
          <w:tcPr>
            <w:tcW w:w="1980" w:type="dxa"/>
          </w:tcPr>
          <w:p w:rsidR="00B94E79" w:rsidRDefault="00B94E79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980" w:type="dxa"/>
          </w:tcPr>
          <w:p w:rsidR="00B94E79" w:rsidRDefault="00B94E79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94E79" w:rsidRDefault="00B94E79">
            <w:pPr>
              <w:pStyle w:val="ConsPlusNormal"/>
            </w:pPr>
            <w:r>
              <w:t>Содержащие антикоагулянты I поколения</w:t>
            </w:r>
          </w:p>
        </w:tc>
        <w:tc>
          <w:tcPr>
            <w:tcW w:w="1686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30 до 50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30 до 50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94E79" w:rsidRDefault="00B94E79">
            <w:pPr>
              <w:pStyle w:val="ConsPlusNormal"/>
            </w:pPr>
            <w:r>
              <w:t>Содержащие антикоагулянт II поколения</w:t>
            </w:r>
          </w:p>
        </w:tc>
        <w:tc>
          <w:tcPr>
            <w:tcW w:w="1686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10 до 20</w:t>
            </w:r>
          </w:p>
        </w:tc>
      </w:tr>
      <w:tr w:rsidR="00B94E7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94E79" w:rsidRDefault="00B94E79">
            <w:pPr>
              <w:pStyle w:val="ConsPlusNormal"/>
            </w:pPr>
            <w:r>
              <w:t>Содержащие ДВ острого действия (крысид, фосфид цинка и другие)</w:t>
            </w:r>
          </w:p>
        </w:tc>
        <w:tc>
          <w:tcPr>
            <w:tcW w:w="1686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20 до 40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vAlign w:val="center"/>
          </w:tcPr>
          <w:p w:rsidR="00B94E79" w:rsidRDefault="00B94E79">
            <w:pPr>
              <w:pStyle w:val="ConsPlusNormal"/>
              <w:jc w:val="center"/>
            </w:pPr>
            <w:r>
              <w:t>от 10 до 30</w:t>
            </w:r>
          </w:p>
        </w:tc>
      </w:tr>
    </w:tbl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jc w:val="both"/>
      </w:pPr>
    </w:p>
    <w:p w:rsidR="00B94E79" w:rsidRDefault="00B94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4" w:name="_GoBack"/>
      <w:bookmarkEnd w:id="4"/>
    </w:p>
    <w:sectPr w:rsidR="006E5913" w:rsidSect="004146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9"/>
    <w:rsid w:val="006E5913"/>
    <w:rsid w:val="00B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A0D8-0784-421F-B6DA-9A6711A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78692E6F292284762D4B6FB0D784A8BC4BDEECB4245E287CB343728FE2780963026DCE61A82203B4A74E5AC9758D6890B888B643A38Dd13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D178692E6F292284762D4B6FB0D784A9BD48DBEEBF79542025BF417580BD7D0E72026CCD7FAF2315BDF31Ed137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178692E6F292284762D4B6FB0D784AFB04EDDEFBF79542025BF417580BD6F0E2A0E6CCE60AD2B00EBA25B4B91788E758FB996AA41A2d835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D178692E6F292284762D4B6FB0D784A9B649DCEAB3245E287CB343728FE2780963026ECD69A5775AFBA6121E9F668C6B90BB88A9d438X" TargetMode="External"/><Relationship Id="rId10" Type="http://schemas.openxmlformats.org/officeDocument/2006/relationships/hyperlink" Target="consultantplus://offline/ref=CCD178692E6F292284762D4B6FB0D784ABB449D4ECBC245E287CB343728FE2780963026DCE61AE220AB4A74E5AC9758D6890B888B643A38Dd13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D178692E6F292284762D4B6FB0D784A9B649DCEAB3245E287CB343728FE2780963026DCE61AC2209B4A74E5AC9758D6890B888B643A38Dd13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2019-10-02T23:55:00Z</dcterms:created>
  <dcterms:modified xsi:type="dcterms:W3CDTF">2019-10-02T23:55:00Z</dcterms:modified>
</cp:coreProperties>
</file>