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A1" w:rsidRDefault="0085057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9.4pt;margin-top:6.65pt;width:462.2pt;height:120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Надпись 2">
              <w:txbxContent>
                <w:p w:rsidR="00476CDE" w:rsidRPr="008704E7" w:rsidRDefault="00476CDE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</w:pP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>Статистический отчёт</w:t>
                  </w:r>
                </w:p>
                <w:p w:rsidR="00E95ED6" w:rsidRPr="008704E7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</w:pP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>по обращениям граждан</w:t>
                  </w:r>
                </w:p>
                <w:p w:rsidR="001C2359" w:rsidRPr="008704E7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</w:pP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>в Министерство социального развития и труда</w:t>
                  </w:r>
                </w:p>
                <w:p w:rsidR="00E95ED6" w:rsidRPr="008704E7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</w:pP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>Камчатского края</w:t>
                  </w:r>
                </w:p>
                <w:p w:rsidR="00E95ED6" w:rsidRPr="008704E7" w:rsidRDefault="00E95ED6" w:rsidP="00E034A3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</w:pP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 xml:space="preserve">за 1 </w:t>
                  </w:r>
                  <w:r w:rsidR="008704E7"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>полугодие</w:t>
                  </w:r>
                  <w:r w:rsidRPr="008704E7">
                    <w:rPr>
                      <w:rFonts w:ascii="Arial Narrow" w:hAnsi="Arial Narrow" w:cs="Times New Roman"/>
                      <w:b/>
                      <w:color w:val="2307C9"/>
                      <w:sz w:val="36"/>
                      <w:szCs w:val="36"/>
                    </w:rPr>
                    <w:t xml:space="preserve"> 2017 года</w:t>
                  </w:r>
                </w:p>
              </w:txbxContent>
            </v:textbox>
          </v:shape>
        </w:pict>
      </w:r>
    </w:p>
    <w:p w:rsidR="008610A1" w:rsidRDefault="008610A1"/>
    <w:p w:rsidR="008610A1" w:rsidRDefault="008610A1"/>
    <w:p w:rsidR="008610A1" w:rsidRDefault="008610A1"/>
    <w:p w:rsidR="008610A1" w:rsidRDefault="008610A1"/>
    <w:p w:rsidR="008610A1" w:rsidRDefault="0085057D">
      <w:r>
        <w:rPr>
          <w:noProof/>
        </w:rPr>
        <w:pict>
          <v:shape id="_x0000_s1027" type="#_x0000_t202" style="position:absolute;margin-left:36.9pt;margin-top:16.8pt;width:450.7pt;height:168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tbl>
                  <w:tblPr>
                    <w:tblStyle w:val="a5"/>
                    <w:tblW w:w="0" w:type="auto"/>
                    <w:tblInd w:w="534" w:type="dxa"/>
                    <w:tblBorders>
                      <w:top w:val="single" w:sz="36" w:space="0" w:color="8E0000"/>
                      <w:left w:val="single" w:sz="36" w:space="0" w:color="8E0000"/>
                      <w:bottom w:val="single" w:sz="36" w:space="0" w:color="8E0000"/>
                      <w:right w:val="single" w:sz="36" w:space="0" w:color="8E0000"/>
                      <w:insideH w:val="single" w:sz="18" w:space="0" w:color="8E0000"/>
                      <w:insideV w:val="single" w:sz="18" w:space="0" w:color="8E0000"/>
                    </w:tblBorders>
                    <w:tblLook w:val="04A0" w:firstRow="1" w:lastRow="0" w:firstColumn="1" w:lastColumn="0" w:noHBand="0" w:noVBand="1"/>
                  </w:tblPr>
                  <w:tblGrid>
                    <w:gridCol w:w="2187"/>
                    <w:gridCol w:w="2490"/>
                    <w:gridCol w:w="2758"/>
                  </w:tblGrid>
                  <w:tr w:rsidR="008704E7" w:rsidRPr="008704E7" w:rsidTr="00E034A3">
                    <w:tc>
                      <w:tcPr>
                        <w:tcW w:w="2187" w:type="dxa"/>
                        <w:vMerge w:val="restart"/>
                      </w:tcPr>
                      <w:p w:rsidR="00BA0E45" w:rsidRPr="008704E7" w:rsidRDefault="00BA0E45" w:rsidP="00AA567A">
                        <w:pPr>
                          <w:jc w:val="center"/>
                          <w:rPr>
                            <w:color w:val="2307C9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 w:rsidR="00BA0E45" w:rsidRPr="008704E7" w:rsidRDefault="00BA0E45" w:rsidP="00AA567A">
                        <w:pPr>
                          <w:jc w:val="center"/>
                          <w:rPr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Всего поступило обращений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BA0E45" w:rsidRPr="008704E7" w:rsidRDefault="00BA0E45" w:rsidP="00AA567A">
                        <w:pPr>
                          <w:jc w:val="center"/>
                          <w:rPr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 xml:space="preserve">в </w:t>
                        </w:r>
                        <w:proofErr w:type="spellStart"/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т.ч</w:t>
                        </w:r>
                        <w:proofErr w:type="spellEnd"/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. в ходе личного приёма Министра</w:t>
                        </w:r>
                      </w:p>
                    </w:tc>
                  </w:tr>
                  <w:tr w:rsidR="008704E7" w:rsidRPr="008704E7" w:rsidTr="00E034A3">
                    <w:tc>
                      <w:tcPr>
                        <w:tcW w:w="2187" w:type="dxa"/>
                        <w:vMerge/>
                      </w:tcPr>
                      <w:p w:rsidR="00BA0E45" w:rsidRPr="008704E7" w:rsidRDefault="00BA0E45" w:rsidP="00AA567A">
                        <w:pPr>
                          <w:jc w:val="center"/>
                          <w:rPr>
                            <w:color w:val="2307C9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 w:rsidR="00BA0E45" w:rsidRPr="008704E7" w:rsidRDefault="008704E7" w:rsidP="008704E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377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BA0E45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95</w:t>
                        </w:r>
                      </w:p>
                    </w:tc>
                  </w:tr>
                  <w:tr w:rsidR="008704E7" w:rsidRPr="008704E7" w:rsidTr="00E034A3">
                    <w:tc>
                      <w:tcPr>
                        <w:tcW w:w="2187" w:type="dxa"/>
                      </w:tcPr>
                      <w:p w:rsidR="00E034A3" w:rsidRPr="008704E7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п</w:t>
                        </w:r>
                        <w:r w:rsidR="00E034A3"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оддержано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125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45</w:t>
                        </w:r>
                      </w:p>
                    </w:tc>
                  </w:tr>
                  <w:tr w:rsidR="008704E7" w:rsidRPr="008704E7" w:rsidTr="00E034A3">
                    <w:tc>
                      <w:tcPr>
                        <w:tcW w:w="2187" w:type="dxa"/>
                      </w:tcPr>
                      <w:p w:rsidR="00E034A3" w:rsidRPr="008704E7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н</w:t>
                        </w:r>
                        <w:r w:rsidR="00E034A3"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е поддержано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8704E7" w:rsidRPr="008704E7" w:rsidTr="00E034A3">
                    <w:tc>
                      <w:tcPr>
                        <w:tcW w:w="2187" w:type="dxa"/>
                      </w:tcPr>
                      <w:p w:rsidR="00E034A3" w:rsidRPr="008704E7" w:rsidRDefault="00E034A3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>разъяснено</w:t>
                        </w:r>
                      </w:p>
                    </w:tc>
                    <w:tc>
                      <w:tcPr>
                        <w:tcW w:w="2490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229</w:t>
                        </w:r>
                      </w:p>
                    </w:tc>
                    <w:tc>
                      <w:tcPr>
                        <w:tcW w:w="2758" w:type="dxa"/>
                      </w:tcPr>
                      <w:p w:rsidR="00E034A3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47</w:t>
                        </w:r>
                      </w:p>
                    </w:tc>
                  </w:tr>
                  <w:tr w:rsidR="008704E7" w:rsidRPr="008704E7" w:rsidTr="00BA0E45">
                    <w:tc>
                      <w:tcPr>
                        <w:tcW w:w="2187" w:type="dxa"/>
                      </w:tcPr>
                      <w:p w:rsidR="00BA0E45" w:rsidRPr="008704E7" w:rsidRDefault="00BA0E45" w:rsidP="00AA567A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  <w:t xml:space="preserve">в работе </w:t>
                        </w:r>
                      </w:p>
                      <w:p w:rsidR="00BA0E45" w:rsidRPr="008704E7" w:rsidRDefault="00BA0E45" w:rsidP="008704E7">
                        <w:pPr>
                          <w:contextualSpacing/>
                          <w:jc w:val="center"/>
                          <w:rPr>
                            <w:rFonts w:ascii="Arial Narrow" w:hAnsi="Arial Narrow" w:cs="Arial"/>
                            <w:b/>
                            <w:i/>
                            <w:color w:val="2307C9"/>
                            <w:sz w:val="28"/>
                            <w:szCs w:val="28"/>
                          </w:rPr>
                        </w:pPr>
                        <w:r w:rsidRPr="008704E7">
                          <w:rPr>
                            <w:rFonts w:ascii="Arial Narrow" w:hAnsi="Arial Narrow" w:cs="Arial"/>
                            <w:i/>
                            <w:color w:val="2307C9"/>
                            <w:sz w:val="20"/>
                            <w:szCs w:val="20"/>
                          </w:rPr>
                          <w:t>(на 0</w:t>
                        </w:r>
                        <w:r w:rsidR="008704E7" w:rsidRPr="008704E7">
                          <w:rPr>
                            <w:rFonts w:ascii="Arial Narrow" w:hAnsi="Arial Narrow" w:cs="Arial"/>
                            <w:i/>
                            <w:color w:val="2307C9"/>
                            <w:sz w:val="20"/>
                            <w:szCs w:val="20"/>
                          </w:rPr>
                          <w:t>3</w:t>
                        </w:r>
                        <w:r w:rsidRPr="008704E7">
                          <w:rPr>
                            <w:rFonts w:ascii="Arial Narrow" w:hAnsi="Arial Narrow" w:cs="Arial"/>
                            <w:i/>
                            <w:color w:val="2307C9"/>
                            <w:sz w:val="20"/>
                            <w:szCs w:val="20"/>
                          </w:rPr>
                          <w:t>.0</w:t>
                        </w:r>
                        <w:r w:rsidR="008704E7" w:rsidRPr="008704E7">
                          <w:rPr>
                            <w:rFonts w:ascii="Arial Narrow" w:hAnsi="Arial Narrow" w:cs="Arial"/>
                            <w:i/>
                            <w:color w:val="2307C9"/>
                            <w:sz w:val="20"/>
                            <w:szCs w:val="20"/>
                          </w:rPr>
                          <w:t>7</w:t>
                        </w:r>
                        <w:r w:rsidRPr="008704E7">
                          <w:rPr>
                            <w:rFonts w:ascii="Arial Narrow" w:hAnsi="Arial Narrow" w:cs="Arial"/>
                            <w:i/>
                            <w:color w:val="2307C9"/>
                            <w:sz w:val="20"/>
                            <w:szCs w:val="20"/>
                          </w:rPr>
                          <w:t>.2017)</w:t>
                        </w:r>
                      </w:p>
                    </w:tc>
                    <w:tc>
                      <w:tcPr>
                        <w:tcW w:w="2490" w:type="dxa"/>
                        <w:vAlign w:val="center"/>
                      </w:tcPr>
                      <w:p w:rsidR="00BA0E45" w:rsidRPr="008704E7" w:rsidRDefault="008704E7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2758" w:type="dxa"/>
                        <w:vAlign w:val="center"/>
                      </w:tcPr>
                      <w:p w:rsidR="00BA0E45" w:rsidRPr="008704E7" w:rsidRDefault="00BA0E45" w:rsidP="00AA567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</w:pPr>
                        <w:r w:rsidRPr="008704E7">
                          <w:rPr>
                            <w:rFonts w:ascii="Times New Roman" w:hAnsi="Times New Roman" w:cs="Times New Roman"/>
                            <w:b/>
                            <w:color w:val="2307C9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E034A3" w:rsidRPr="00E034A3" w:rsidRDefault="00E034A3" w:rsidP="00E034A3">
                  <w:pPr>
                    <w:jc w:val="center"/>
                    <w:rPr>
                      <w:color w:val="8E0000"/>
                    </w:rPr>
                  </w:pPr>
                </w:p>
                <w:p w:rsidR="001C2359" w:rsidRDefault="001C2359" w:rsidP="00E034A3">
                  <w:pPr>
                    <w:jc w:val="both"/>
                  </w:pPr>
                </w:p>
                <w:p w:rsidR="001C2359" w:rsidRDefault="001C2359" w:rsidP="00E034A3">
                  <w:pPr>
                    <w:jc w:val="center"/>
                  </w:pPr>
                </w:p>
              </w:txbxContent>
            </v:textbox>
          </v:shape>
        </w:pict>
      </w:r>
    </w:p>
    <w:p w:rsidR="008610A1" w:rsidRDefault="008610A1"/>
    <w:p w:rsidR="001C2359" w:rsidRDefault="001C2359"/>
    <w:p w:rsidR="008610A1" w:rsidRDefault="008610A1"/>
    <w:p w:rsidR="008610A1" w:rsidRDefault="008610A1"/>
    <w:p w:rsidR="008610A1" w:rsidRDefault="008610A1"/>
    <w:p w:rsidR="008610A1" w:rsidRDefault="008610A1"/>
    <w:p w:rsidR="00476CDE" w:rsidRDefault="00476CDE"/>
    <w:tbl>
      <w:tblPr>
        <w:tblStyle w:val="-3"/>
        <w:tblW w:w="0" w:type="auto"/>
        <w:tblInd w:w="1384" w:type="dxa"/>
        <w:tblBorders>
          <w:top w:val="single" w:sz="24" w:space="0" w:color="9CA6B0"/>
          <w:left w:val="single" w:sz="24" w:space="0" w:color="9CA6B0"/>
          <w:bottom w:val="single" w:sz="24" w:space="0" w:color="9CA6B0"/>
          <w:right w:val="single" w:sz="24" w:space="0" w:color="9CA6B0"/>
          <w:insideH w:val="single" w:sz="24" w:space="0" w:color="9CA6B0"/>
          <w:insideV w:val="single" w:sz="24" w:space="0" w:color="9CA6B0"/>
        </w:tblBorders>
        <w:tblLook w:val="04A0" w:firstRow="1" w:lastRow="0" w:firstColumn="1" w:lastColumn="0" w:noHBand="0" w:noVBand="1"/>
      </w:tblPr>
      <w:tblGrid>
        <w:gridCol w:w="6095"/>
        <w:gridCol w:w="1418"/>
      </w:tblGrid>
      <w:tr w:rsidR="000B213B" w:rsidRPr="000B213B" w:rsidTr="009A4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B213B" w:rsidRPr="000B213B" w:rsidRDefault="000B213B" w:rsidP="000B213B">
            <w:pPr>
              <w:contextualSpacing/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>Поступили через П</w:t>
            </w:r>
            <w:r w:rsidRPr="000B213B"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>равительство Камчатского края</w:t>
            </w:r>
            <w:r>
              <w:rPr>
                <w:rFonts w:ascii="Arial Narrow" w:hAnsi="Arial Narrow" w:cs="Arial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0B213B" w:rsidRPr="000B213B" w:rsidRDefault="008704E7" w:rsidP="000B2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150</w:t>
            </w:r>
          </w:p>
        </w:tc>
      </w:tr>
    </w:tbl>
    <w:p w:rsidR="003D24DA" w:rsidRDefault="003D24DA"/>
    <w:p w:rsidR="00BA0E45" w:rsidRDefault="00BA0E45" w:rsidP="00BA0E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77F7">
        <w:rPr>
          <w:rFonts w:ascii="Times New Roman" w:hAnsi="Times New Roman" w:cs="Times New Roman"/>
          <w:sz w:val="28"/>
          <w:szCs w:val="28"/>
        </w:rPr>
        <w:t xml:space="preserve">сего в Министерстве социального развития и труда Камчатского края за отчётный период зарегистрировано </w:t>
      </w:r>
      <w:r w:rsidR="008704E7">
        <w:rPr>
          <w:rFonts w:ascii="Times New Roman" w:hAnsi="Times New Roman" w:cs="Times New Roman"/>
          <w:sz w:val="28"/>
          <w:szCs w:val="28"/>
        </w:rPr>
        <w:t>377</w:t>
      </w:r>
      <w:r w:rsidRPr="00A777F7">
        <w:rPr>
          <w:rFonts w:ascii="Times New Roman" w:hAnsi="Times New Roman" w:cs="Times New Roman"/>
          <w:sz w:val="28"/>
          <w:szCs w:val="28"/>
        </w:rPr>
        <w:t xml:space="preserve"> обращений.  По количеству обращений, лидируют </w:t>
      </w:r>
      <w:r w:rsidRPr="002E7EA9">
        <w:rPr>
          <w:rFonts w:ascii="Times New Roman" w:hAnsi="Times New Roman" w:cs="Times New Roman"/>
          <w:sz w:val="28"/>
          <w:szCs w:val="28"/>
        </w:rPr>
        <w:t>краевой центр (</w:t>
      </w:r>
      <w:r w:rsidR="008704E7">
        <w:rPr>
          <w:rFonts w:ascii="Times New Roman" w:hAnsi="Times New Roman" w:cs="Times New Roman"/>
          <w:sz w:val="28"/>
          <w:szCs w:val="28"/>
        </w:rPr>
        <w:t>220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муниципальный район (МР) (</w:t>
      </w:r>
      <w:r w:rsidR="008704E7">
        <w:rPr>
          <w:rFonts w:ascii="Times New Roman" w:hAnsi="Times New Roman" w:cs="Times New Roman"/>
          <w:sz w:val="28"/>
          <w:szCs w:val="28"/>
        </w:rPr>
        <w:t>43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>-Большерецкий МР (1</w:t>
      </w:r>
      <w:r w:rsidR="008704E7">
        <w:rPr>
          <w:rFonts w:ascii="Times New Roman" w:hAnsi="Times New Roman" w:cs="Times New Roman"/>
          <w:sz w:val="28"/>
          <w:szCs w:val="28"/>
        </w:rPr>
        <w:t>5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</w:t>
      </w:r>
      <w:r w:rsidR="00870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4E7" w:rsidRPr="002E7EA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8704E7" w:rsidRPr="002E7EA9">
        <w:rPr>
          <w:rFonts w:ascii="Times New Roman" w:hAnsi="Times New Roman" w:cs="Times New Roman"/>
          <w:sz w:val="28"/>
          <w:szCs w:val="28"/>
        </w:rPr>
        <w:t>-Камчатский МР (</w:t>
      </w:r>
      <w:r w:rsidR="008704E7">
        <w:rPr>
          <w:rFonts w:ascii="Times New Roman" w:hAnsi="Times New Roman" w:cs="Times New Roman"/>
          <w:sz w:val="28"/>
          <w:szCs w:val="28"/>
        </w:rPr>
        <w:t>15</w:t>
      </w:r>
      <w:r w:rsidR="008704E7" w:rsidRPr="002E7EA9">
        <w:rPr>
          <w:rFonts w:ascii="Times New Roman" w:hAnsi="Times New Roman" w:cs="Times New Roman"/>
          <w:sz w:val="28"/>
          <w:szCs w:val="28"/>
        </w:rPr>
        <w:t xml:space="preserve">), </w:t>
      </w:r>
      <w:r w:rsidR="00D54F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Мильковский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МР (1</w:t>
      </w:r>
      <w:r w:rsidR="008704E7">
        <w:rPr>
          <w:rFonts w:ascii="Times New Roman" w:hAnsi="Times New Roman" w:cs="Times New Roman"/>
          <w:sz w:val="28"/>
          <w:szCs w:val="28"/>
        </w:rPr>
        <w:t>4</w:t>
      </w:r>
      <w:r w:rsidRPr="002E7EA9">
        <w:rPr>
          <w:rFonts w:ascii="Times New Roman" w:hAnsi="Times New Roman" w:cs="Times New Roman"/>
          <w:sz w:val="28"/>
          <w:szCs w:val="28"/>
        </w:rPr>
        <w:t xml:space="preserve">),   ЗАТО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2E7EA9">
        <w:rPr>
          <w:rFonts w:ascii="Times New Roman" w:hAnsi="Times New Roman" w:cs="Times New Roman"/>
          <w:sz w:val="28"/>
          <w:szCs w:val="28"/>
        </w:rPr>
        <w:t xml:space="preserve"> (</w:t>
      </w:r>
      <w:r w:rsidR="008704E7">
        <w:rPr>
          <w:rFonts w:ascii="Times New Roman" w:hAnsi="Times New Roman" w:cs="Times New Roman"/>
          <w:sz w:val="28"/>
          <w:szCs w:val="28"/>
        </w:rPr>
        <w:t>12</w:t>
      </w:r>
      <w:r w:rsidRPr="002E7EA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E7EA9">
        <w:rPr>
          <w:rFonts w:ascii="Times New Roman" w:hAnsi="Times New Roman" w:cs="Times New Roman"/>
          <w:sz w:val="28"/>
          <w:szCs w:val="28"/>
        </w:rPr>
        <w:t>Тигильский</w:t>
      </w:r>
      <w:proofErr w:type="spellEnd"/>
      <w:r w:rsidR="008704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704E7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8704E7">
        <w:rPr>
          <w:rFonts w:ascii="Times New Roman" w:hAnsi="Times New Roman" w:cs="Times New Roman"/>
          <w:sz w:val="28"/>
          <w:szCs w:val="28"/>
        </w:rPr>
        <w:t xml:space="preserve"> </w:t>
      </w:r>
      <w:r w:rsidRPr="002E7EA9">
        <w:rPr>
          <w:rFonts w:ascii="Times New Roman" w:hAnsi="Times New Roman" w:cs="Times New Roman"/>
          <w:sz w:val="28"/>
          <w:szCs w:val="28"/>
        </w:rPr>
        <w:t>МР (</w:t>
      </w:r>
      <w:r w:rsidR="008704E7">
        <w:rPr>
          <w:rFonts w:ascii="Times New Roman" w:hAnsi="Times New Roman" w:cs="Times New Roman"/>
          <w:sz w:val="28"/>
          <w:szCs w:val="28"/>
        </w:rPr>
        <w:t>по 10</w:t>
      </w:r>
      <w:r w:rsidRPr="002E7EA9">
        <w:rPr>
          <w:rFonts w:ascii="Times New Roman" w:hAnsi="Times New Roman" w:cs="Times New Roman"/>
          <w:sz w:val="28"/>
          <w:szCs w:val="28"/>
        </w:rPr>
        <w:t xml:space="preserve">). Из остальных муниципальных районов поступило </w:t>
      </w:r>
      <w:r w:rsidR="008704E7">
        <w:rPr>
          <w:rFonts w:ascii="Times New Roman" w:hAnsi="Times New Roman" w:cs="Times New Roman"/>
          <w:sz w:val="28"/>
          <w:szCs w:val="28"/>
        </w:rPr>
        <w:t xml:space="preserve">от 1 </w:t>
      </w:r>
      <w:r w:rsidR="00D54F44">
        <w:rPr>
          <w:rFonts w:ascii="Times New Roman" w:hAnsi="Times New Roman" w:cs="Times New Roman"/>
          <w:sz w:val="28"/>
          <w:szCs w:val="28"/>
        </w:rPr>
        <w:t>до</w:t>
      </w:r>
      <w:r w:rsidR="0035222C">
        <w:rPr>
          <w:rFonts w:ascii="Times New Roman" w:hAnsi="Times New Roman" w:cs="Times New Roman"/>
          <w:sz w:val="28"/>
          <w:szCs w:val="28"/>
        </w:rPr>
        <w:t xml:space="preserve"> </w:t>
      </w:r>
      <w:r w:rsidR="00D54F44">
        <w:rPr>
          <w:rFonts w:ascii="Times New Roman" w:hAnsi="Times New Roman" w:cs="Times New Roman"/>
          <w:sz w:val="28"/>
          <w:szCs w:val="28"/>
        </w:rPr>
        <w:t>7</w:t>
      </w:r>
      <w:r w:rsidRPr="002E7EA9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A0E45" w:rsidRPr="002E7EA9" w:rsidRDefault="00BA0E45" w:rsidP="00BA0E45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6CDE" w:rsidRDefault="0085057D" w:rsidP="003D24DA">
      <w:pPr>
        <w:ind w:left="-426" w:firstLine="425"/>
      </w:pPr>
      <w:r>
        <w:rPr>
          <w:noProof/>
          <w:lang w:eastAsia="ru-RU"/>
        </w:rPr>
        <w:pict>
          <v:rect id="_x0000_s1028" style="position:absolute;left:0;text-align:left;margin-left:-2.8pt;margin-top:12.95pt;width:190.55pt;height:82.05pt;z-index:251662336" filled="f" stroked="f"/>
        </w:pict>
      </w:r>
      <w:r w:rsidR="00F216E2">
        <w:rPr>
          <w:noProof/>
          <w:lang w:eastAsia="ru-RU"/>
        </w:rPr>
        <w:drawing>
          <wp:inline distT="0" distB="0" distL="0" distR="0" wp14:anchorId="4665B599" wp14:editId="46F4813A">
            <wp:extent cx="6430658" cy="3015334"/>
            <wp:effectExtent l="0" t="0" r="0" b="0"/>
            <wp:docPr id="2" name="Рисунок 2" descr="C:\Users\USER\Pictures\АЛЁНКА\133aed58-b2d1-46e5-80c5-fdfdf257d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АЛЁНКА\133aed58-b2d1-46e5-80c5-fdfdf257d3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125" cy="303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E62" w:rsidRPr="00364AC7" w:rsidRDefault="00486E62" w:rsidP="00486E62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AC7">
        <w:rPr>
          <w:rFonts w:ascii="Times New Roman" w:hAnsi="Times New Roman" w:cs="Times New Roman"/>
          <w:sz w:val="28"/>
          <w:szCs w:val="28"/>
        </w:rPr>
        <w:lastRenderedPageBreak/>
        <w:t>Преобладают обращения о мерах соц. поддержки (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364A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4AC7">
        <w:rPr>
          <w:rFonts w:ascii="Times New Roman" w:hAnsi="Times New Roman" w:cs="Times New Roman"/>
          <w:sz w:val="28"/>
          <w:szCs w:val="28"/>
        </w:rPr>
        <w:t>об определении в дома-интернаты (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364AC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AC7">
        <w:rPr>
          <w:rFonts w:ascii="Times New Roman" w:hAnsi="Times New Roman" w:cs="Times New Roman"/>
          <w:sz w:val="28"/>
          <w:szCs w:val="28"/>
        </w:rPr>
        <w:t>по вопросам трудовых отношений и заработной платы (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364AC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364AC7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64AC7">
        <w:rPr>
          <w:rFonts w:ascii="Times New Roman" w:hAnsi="Times New Roman" w:cs="Times New Roman"/>
          <w:sz w:val="28"/>
          <w:szCs w:val="28"/>
        </w:rPr>
        <w:t xml:space="preserve"> реабилитации инвалидов и улучшении их </w:t>
      </w:r>
      <w:r>
        <w:rPr>
          <w:rFonts w:ascii="Times New Roman" w:hAnsi="Times New Roman" w:cs="Times New Roman"/>
          <w:sz w:val="28"/>
          <w:szCs w:val="28"/>
        </w:rPr>
        <w:t>среды обитания – «доступной среды»</w:t>
      </w:r>
      <w:r w:rsidRPr="00364AC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64A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6E62" w:rsidRDefault="00486E62" w:rsidP="00486E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092">
        <w:rPr>
          <w:rFonts w:ascii="Times New Roman" w:hAnsi="Times New Roman" w:cs="Times New Roman"/>
          <w:sz w:val="28"/>
          <w:szCs w:val="28"/>
        </w:rPr>
        <w:t>Из  общего числа обращений – 1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06092">
        <w:rPr>
          <w:rFonts w:ascii="Times New Roman" w:hAnsi="Times New Roman" w:cs="Times New Roman"/>
          <w:sz w:val="28"/>
          <w:szCs w:val="28"/>
        </w:rPr>
        <w:t xml:space="preserve"> принадлежит пенсионерам, в том числе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6092">
        <w:rPr>
          <w:rFonts w:ascii="Times New Roman" w:hAnsi="Times New Roman" w:cs="Times New Roman"/>
          <w:sz w:val="28"/>
          <w:szCs w:val="28"/>
        </w:rPr>
        <w:t xml:space="preserve"> инвалидам;  </w:t>
      </w:r>
      <w:r w:rsidRPr="007069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690D">
        <w:rPr>
          <w:rFonts w:ascii="Times New Roman" w:hAnsi="Times New Roman" w:cs="Times New Roman"/>
          <w:sz w:val="28"/>
          <w:szCs w:val="28"/>
        </w:rPr>
        <w:t xml:space="preserve"> заявителей  имеют несовершеннолетних детей, в </w:t>
      </w:r>
      <w:proofErr w:type="spellStart"/>
      <w:r w:rsidRPr="0070690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06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70690D">
        <w:rPr>
          <w:rFonts w:ascii="Times New Roman" w:hAnsi="Times New Roman" w:cs="Times New Roman"/>
          <w:sz w:val="28"/>
          <w:szCs w:val="28"/>
        </w:rPr>
        <w:t xml:space="preserve">- многодетные,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0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родители, одиноко воспитывающие детей</w:t>
      </w:r>
      <w:r w:rsidRPr="0070690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1</w:t>
      </w:r>
      <w:r w:rsidRPr="0070690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690D">
        <w:rPr>
          <w:rFonts w:ascii="Times New Roman" w:hAnsi="Times New Roman" w:cs="Times New Roman"/>
          <w:sz w:val="28"/>
          <w:szCs w:val="28"/>
        </w:rPr>
        <w:t xml:space="preserve"> с детьми-инвалидами.</w:t>
      </w:r>
    </w:p>
    <w:p w:rsidR="00BA0E45" w:rsidRPr="0070690D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86E62" w:rsidRPr="00001D52" w:rsidRDefault="00486E62" w:rsidP="00486E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279 заявителей проживают в городах, 98 – в сельской местности. </w:t>
      </w:r>
    </w:p>
    <w:p w:rsidR="00486E62" w:rsidRDefault="00486E62" w:rsidP="00486E62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C2">
        <w:rPr>
          <w:rFonts w:ascii="Times New Roman" w:hAnsi="Times New Roman" w:cs="Times New Roman"/>
          <w:sz w:val="28"/>
          <w:szCs w:val="28"/>
        </w:rPr>
        <w:t>Применяются проверки обращений с выездом на место</w:t>
      </w:r>
      <w:r>
        <w:rPr>
          <w:rFonts w:ascii="Times New Roman" w:hAnsi="Times New Roman" w:cs="Times New Roman"/>
          <w:sz w:val="28"/>
          <w:szCs w:val="28"/>
        </w:rPr>
        <w:t>. Вопросы, требующие коллегиального решения, рассматриваются К</w:t>
      </w:r>
      <w:r w:rsidRPr="001A30C2">
        <w:rPr>
          <w:rFonts w:ascii="Times New Roman" w:hAnsi="Times New Roman" w:cs="Times New Roman"/>
          <w:sz w:val="28"/>
          <w:szCs w:val="28"/>
        </w:rPr>
        <w:t>омиссией по социальным вопросам Министерств</w:t>
      </w:r>
      <w:r>
        <w:rPr>
          <w:rFonts w:ascii="Times New Roman" w:hAnsi="Times New Roman" w:cs="Times New Roman"/>
          <w:sz w:val="28"/>
          <w:szCs w:val="28"/>
        </w:rPr>
        <w:t>а социального развития и труда К</w:t>
      </w:r>
      <w:r w:rsidRPr="001A30C2">
        <w:rPr>
          <w:rFonts w:ascii="Times New Roman" w:hAnsi="Times New Roman" w:cs="Times New Roman"/>
          <w:sz w:val="28"/>
          <w:szCs w:val="28"/>
        </w:rPr>
        <w:t>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E45" w:rsidRPr="00001D52" w:rsidRDefault="00BA0E45" w:rsidP="00BA0E4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6E3ED4" w:rsidRPr="00486E62" w:rsidRDefault="003D24DA" w:rsidP="003D24DA">
      <w:pPr>
        <w:spacing w:after="0" w:line="288" w:lineRule="auto"/>
        <w:ind w:firstLine="708"/>
        <w:jc w:val="both"/>
        <w:rPr>
          <w:rFonts w:ascii="Times New Roman" w:hAnsi="Times New Roman" w:cs="Times New Roman"/>
          <w:b/>
          <w:i/>
          <w:color w:val="2307C9"/>
          <w:sz w:val="32"/>
          <w:szCs w:val="32"/>
        </w:rPr>
      </w:pPr>
      <w:r w:rsidRPr="00486E62">
        <w:rPr>
          <w:rFonts w:ascii="Times New Roman" w:hAnsi="Times New Roman" w:cs="Times New Roman"/>
          <w:b/>
          <w:i/>
          <w:color w:val="2307C9"/>
          <w:sz w:val="32"/>
          <w:szCs w:val="32"/>
        </w:rPr>
        <w:t xml:space="preserve">Кроме отражённых в таблице обращений, в 1 </w:t>
      </w:r>
      <w:r w:rsidR="00486E62">
        <w:rPr>
          <w:rFonts w:ascii="Times New Roman" w:hAnsi="Times New Roman" w:cs="Times New Roman"/>
          <w:b/>
          <w:i/>
          <w:color w:val="2307C9"/>
          <w:sz w:val="32"/>
          <w:szCs w:val="32"/>
        </w:rPr>
        <w:t>полугодии</w:t>
      </w:r>
      <w:r w:rsidRPr="00486E62">
        <w:rPr>
          <w:rFonts w:ascii="Times New Roman" w:hAnsi="Times New Roman" w:cs="Times New Roman"/>
          <w:b/>
          <w:i/>
          <w:color w:val="2307C9"/>
          <w:sz w:val="32"/>
          <w:szCs w:val="32"/>
        </w:rPr>
        <w:t xml:space="preserve"> 2017 года поступило 3870 заявлений об</w:t>
      </w:r>
      <w:r w:rsidR="00231135" w:rsidRPr="00486E62">
        <w:rPr>
          <w:rFonts w:ascii="Times New Roman" w:hAnsi="Times New Roman" w:cs="Times New Roman"/>
          <w:b/>
          <w:i/>
          <w:color w:val="2307C9"/>
          <w:sz w:val="32"/>
          <w:szCs w:val="32"/>
        </w:rPr>
        <w:t xml:space="preserve"> оказании государственных услуг:</w:t>
      </w:r>
    </w:p>
    <w:p w:rsidR="00231135" w:rsidRDefault="00231135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</w:p>
    <w:p w:rsidR="00231135" w:rsidRDefault="0085057D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  <w:r>
        <w:rPr>
          <w:noProof/>
          <w:lang w:eastAsia="ru-RU"/>
        </w:rPr>
        <w:pict>
          <v:roundrect id="_x0000_s1037" style="position:absolute;left:0;text-align:left;margin-left:7.95pt;margin-top:3.45pt;width:493.6pt;height:302.4pt;z-index:251671552" arcsize="2946f" filled="f" strokecolor="silver" strokeweight="5pt"/>
        </w:pict>
      </w:r>
      <w:r>
        <w:rPr>
          <w:noProof/>
          <w:lang w:eastAsia="ru-RU"/>
        </w:rPr>
        <w:pict>
          <v:shape id="_x0000_s1032" type="#_x0000_t202" style="position:absolute;left:0;text-align:left;margin-left:35.7pt;margin-top:77.85pt;width:37.05pt;height:20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5222C" w:rsidRDefault="0035222C" w:rsidP="0035222C">
                  <w:r>
                    <w:t>113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6" type="#_x0000_t202" style="position:absolute;left:0;text-align:left;margin-left:35.7pt;margin-top:233.05pt;width:42.65pt;height:20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5222C" w:rsidRDefault="0035222C" w:rsidP="0035222C">
                  <w:r>
                    <w:t>6155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shape id="_x0000_s1035" type="#_x0000_t202" style="position:absolute;left:0;text-align:left;margin-left:35.7pt;margin-top:197.05pt;width:37.05pt;height:20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5222C" w:rsidRDefault="0035222C" w:rsidP="0035222C">
                  <w:r>
                    <w:t>462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35.7pt;margin-top:157.85pt;width:37.05pt;height:20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5222C" w:rsidRDefault="0035222C" w:rsidP="0035222C">
                  <w:r>
                    <w:t>339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35.7pt;margin-top:117.85pt;width:37.05pt;height:20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35222C" w:rsidRDefault="0035222C" w:rsidP="0035222C">
                  <w:r>
                    <w:t>199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5.7pt;margin-top:34.65pt;width:37.05pt;height:20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5868A8" w:rsidRDefault="005868A8">
                  <w:r>
                    <w:t>43</w:t>
                  </w:r>
                </w:p>
              </w:txbxContent>
            </v:textbox>
          </v:shape>
        </w:pict>
      </w:r>
      <w:r w:rsidR="00231135">
        <w:rPr>
          <w:noProof/>
          <w:lang w:eastAsia="ru-RU"/>
        </w:rPr>
        <w:drawing>
          <wp:inline distT="0" distB="0" distL="0" distR="0" wp14:anchorId="2749CCB5" wp14:editId="553EF66C">
            <wp:extent cx="6228080" cy="3810000"/>
            <wp:effectExtent l="38100" t="57150" r="2032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3ED4" w:rsidRPr="003D24DA" w:rsidRDefault="006E3ED4" w:rsidP="00F26E63">
      <w:pPr>
        <w:spacing w:after="0" w:line="288" w:lineRule="auto"/>
        <w:ind w:firstLine="142"/>
        <w:jc w:val="both"/>
        <w:rPr>
          <w:rFonts w:ascii="Times New Roman" w:hAnsi="Times New Roman" w:cs="Times New Roman"/>
          <w:b/>
          <w:i/>
          <w:color w:val="8E0000"/>
          <w:sz w:val="32"/>
          <w:szCs w:val="32"/>
        </w:rPr>
      </w:pPr>
    </w:p>
    <w:p w:rsidR="00476CDE" w:rsidRPr="003D24DA" w:rsidRDefault="00476CDE" w:rsidP="00F26E63">
      <w:pPr>
        <w:ind w:firstLine="142"/>
        <w:rPr>
          <w:sz w:val="32"/>
          <w:szCs w:val="32"/>
        </w:rPr>
      </w:pPr>
    </w:p>
    <w:p w:rsidR="008610A1" w:rsidRDefault="008610A1"/>
    <w:p w:rsidR="00AB6581" w:rsidRDefault="00AB6581"/>
    <w:p w:rsidR="001C2359" w:rsidRDefault="001C2359"/>
    <w:p w:rsidR="001C2359" w:rsidRDefault="001C2359"/>
    <w:p w:rsidR="001C2359" w:rsidRDefault="001C2359"/>
    <w:p w:rsidR="001C2359" w:rsidRDefault="001C2359"/>
    <w:p w:rsidR="00E95ED6" w:rsidRDefault="00E95ED6"/>
    <w:sectPr w:rsidR="00E95ED6" w:rsidSect="00BA0E45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0A1"/>
    <w:rsid w:val="000B213B"/>
    <w:rsid w:val="001C2359"/>
    <w:rsid w:val="00231135"/>
    <w:rsid w:val="0035222C"/>
    <w:rsid w:val="00365061"/>
    <w:rsid w:val="003D24DA"/>
    <w:rsid w:val="004429CA"/>
    <w:rsid w:val="00476CDE"/>
    <w:rsid w:val="00486E62"/>
    <w:rsid w:val="005868A8"/>
    <w:rsid w:val="006E3ED4"/>
    <w:rsid w:val="00792865"/>
    <w:rsid w:val="0085057D"/>
    <w:rsid w:val="008610A1"/>
    <w:rsid w:val="008704E7"/>
    <w:rsid w:val="008A3255"/>
    <w:rsid w:val="008F5B49"/>
    <w:rsid w:val="00964AFE"/>
    <w:rsid w:val="009A4945"/>
    <w:rsid w:val="00AA567A"/>
    <w:rsid w:val="00AB6581"/>
    <w:rsid w:val="00BA0E45"/>
    <w:rsid w:val="00D54F44"/>
    <w:rsid w:val="00D84C9C"/>
    <w:rsid w:val="00E034A3"/>
    <w:rsid w:val="00E95ED6"/>
    <w:rsid w:val="00F216E2"/>
    <w:rsid w:val="00F2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0A1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1C235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5">
    <w:name w:val="Table Grid"/>
    <w:basedOn w:val="a1"/>
    <w:uiPriority w:val="59"/>
    <w:rsid w:val="00E0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3946906871382868E-2"/>
          <c:y val="4.7052755905511813E-2"/>
          <c:w val="0.96427344013928951"/>
          <c:h val="0.93288076081915627"/>
        </c:manualLayout>
      </c:layout>
      <c:barChart>
        <c:barDir val="bar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33"/>
        <c:overlap val="2"/>
        <c:axId val="53568256"/>
        <c:axId val="63250432"/>
      </c:barChart>
      <c:catAx>
        <c:axId val="53568256"/>
        <c:scaling>
          <c:orientation val="minMax"/>
        </c:scaling>
        <c:delete val="1"/>
        <c:axPos val="l"/>
        <c:majorTickMark val="out"/>
        <c:minorTickMark val="none"/>
        <c:tickLblPos val="nextTo"/>
        <c:crossAx val="63250432"/>
        <c:crosses val="autoZero"/>
        <c:auto val="1"/>
        <c:lblAlgn val="ctr"/>
        <c:lblOffset val="100"/>
        <c:noMultiLvlLbl val="0"/>
      </c:catAx>
      <c:valAx>
        <c:axId val="63250432"/>
        <c:scaling>
          <c:orientation val="minMax"/>
        </c:scaling>
        <c:delete val="1"/>
        <c:axPos val="b"/>
        <c:majorGridlines>
          <c:spPr>
            <a:ln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53568256"/>
        <c:crosses val="autoZero"/>
        <c:crossBetween val="between"/>
      </c:valAx>
      <c:spPr>
        <a:pattFill prst="dotGrid">
          <a:fgClr>
            <a:schemeClr val="accent5">
              <a:lumMod val="60000"/>
              <a:lumOff val="40000"/>
            </a:schemeClr>
          </a:fgClr>
          <a:bgClr>
            <a:schemeClr val="bg1"/>
          </a:bgClr>
        </a:pattFill>
        <a:ln w="57150">
          <a:solidFill>
            <a:srgbClr val="B4DE86"/>
          </a:solidFill>
        </a:ln>
      </c:spPr>
    </c:plotArea>
    <c:plotVisOnly val="1"/>
    <c:dispBlanksAs val="gap"/>
    <c:showDLblsOverMax val="0"/>
  </c:chart>
  <c:spPr>
    <a:pattFill prst="dotGrid">
      <a:fgClr>
        <a:schemeClr val="accent1"/>
      </a:fgClr>
      <a:bgClr>
        <a:schemeClr val="bg1"/>
      </a:bgClr>
    </a:pattFill>
    <a:ln w="6350">
      <a:solidFill>
        <a:schemeClr val="bg1"/>
      </a:solidFill>
    </a:ln>
    <a:scene3d>
      <a:camera prst="orthographicFront"/>
      <a:lightRig rig="threePt" dir="t"/>
    </a:scene3d>
    <a:sp3d>
      <a:bevelB w="139700" prst="cross"/>
    </a:sp3d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0.15043</cdr:x>
      <cdr:y>0.80803</cdr:y>
    </cdr:from>
    <cdr:to>
      <cdr:x>0.55381</cdr:x>
      <cdr:y>0.88919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868114" y="2889782"/>
          <a:ext cx="2327857" cy="29025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Об оказании единовременной материальной помощи</a:t>
          </a:r>
        </a:p>
      </cdr:txBody>
    </cdr:sp>
  </cdr:relSizeAnchor>
  <cdr:relSizeAnchor xmlns:cdr="http://schemas.openxmlformats.org/drawingml/2006/chartDrawing">
    <cdr:from>
      <cdr:x>0.14849</cdr:x>
      <cdr:y>0.67392</cdr:y>
    </cdr:from>
    <cdr:to>
      <cdr:x>0.24699</cdr:x>
      <cdr:y>0.76273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56924" y="2410159"/>
          <a:ext cx="568432" cy="3176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выдаче удостоверений о статусе многодетной семьи</a:t>
          </a:r>
        </a:p>
      </cdr:txBody>
    </cdr:sp>
  </cdr:relSizeAnchor>
  <cdr:relSizeAnchor xmlns:cdr="http://schemas.openxmlformats.org/drawingml/2006/chartDrawing">
    <cdr:from>
      <cdr:x>0.14143</cdr:x>
      <cdr:y>0.09076</cdr:y>
    </cdr:from>
    <cdr:to>
      <cdr:x>0.23993</cdr:x>
      <cdr:y>0.15284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860720" y="345796"/>
          <a:ext cx="599456" cy="2365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предоставлении   социальной выплаты   на</a:t>
          </a:r>
          <a:r>
            <a:rPr lang="ru-RU" sz="1100" baseline="0">
              <a:latin typeface="Arial" panose="020B0604020202020204" pitchFamily="34" charset="0"/>
              <a:cs typeface="Arial" panose="020B0604020202020204" pitchFamily="34" charset="0"/>
            </a:rPr>
            <a:t> обустройство жилого </a:t>
          </a:r>
        </a:p>
        <a:p xmlns:a="http://schemas.openxmlformats.org/drawingml/2006/main">
          <a:r>
            <a:rPr lang="ru-RU" sz="1100" baseline="0">
              <a:latin typeface="Arial" panose="020B0604020202020204" pitchFamily="34" charset="0"/>
              <a:cs typeface="Arial" panose="020B0604020202020204" pitchFamily="34" charset="0"/>
            </a:rPr>
            <a:t>   помещения   гражданам из числа сирот</a:t>
          </a:r>
          <a:endParaRPr lang="ru-RU" sz="11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0.14829</cdr:x>
      <cdr:y>0.412</cdr:y>
    </cdr:from>
    <cdr:to>
      <cdr:x>0.24679</cdr:x>
      <cdr:y>0.46642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855757" y="1473432"/>
          <a:ext cx="568432" cy="1946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материальной помощи на оплату гостиничных услуг</a:t>
          </a:r>
        </a:p>
      </cdr:txBody>
    </cdr:sp>
  </cdr:relSizeAnchor>
  <cdr:relSizeAnchor xmlns:cdr="http://schemas.openxmlformats.org/drawingml/2006/chartDrawing">
    <cdr:from>
      <cdr:x>0.14697</cdr:x>
      <cdr:y>0.26094</cdr:y>
    </cdr:from>
    <cdr:to>
      <cdr:x>0.24753</cdr:x>
      <cdr:y>0.33067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848146" y="933221"/>
          <a:ext cx="580320" cy="2493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регистрации коллективных договоров</a:t>
          </a:r>
        </a:p>
      </cdr:txBody>
    </cdr:sp>
  </cdr:relSizeAnchor>
  <cdr:relSizeAnchor xmlns:cdr="http://schemas.openxmlformats.org/drawingml/2006/chartDrawing">
    <cdr:from>
      <cdr:x>0.15283</cdr:x>
      <cdr:y>0.54332</cdr:y>
    </cdr:from>
    <cdr:to>
      <cdr:x>0.25133</cdr:x>
      <cdr:y>0.60999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881960" y="1943069"/>
          <a:ext cx="568432" cy="2384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100">
              <a:latin typeface="Arial" panose="020B0604020202020204" pitchFamily="34" charset="0"/>
              <a:cs typeface="Arial" panose="020B0604020202020204" pitchFamily="34" charset="0"/>
            </a:rPr>
            <a:t>- О предоставлении регионального материнского капитала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Казарцева Галина Владимировна</cp:lastModifiedBy>
  <cp:revision>2</cp:revision>
  <cp:lastPrinted>2017-04-11T01:37:00Z</cp:lastPrinted>
  <dcterms:created xsi:type="dcterms:W3CDTF">2017-07-03T21:45:00Z</dcterms:created>
  <dcterms:modified xsi:type="dcterms:W3CDTF">2017-07-03T21:45:00Z</dcterms:modified>
</cp:coreProperties>
</file>