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Об установлении величины прожиточного минимума на душу населения и по основным социально-демографическим группам населения в Камчатском крае на 2025 год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четвертым части 3 статьи 4 Федерального закона от 24.10.1997 № 134-ФЗ «О прожиточном минимуме в Российской Федерации»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Установить</w:t>
      </w:r>
      <w:r>
        <w:rPr>
          <w:rStyle w:val="Style_3_ch"/>
          <w:rFonts w:ascii="Times New Roman" w:hAnsi="Times New Roman"/>
          <w:sz w:val="28"/>
        </w:rPr>
        <w:t xml:space="preserve"> величину прожиточного минимума в Камчатском крае на 2025 год на душу насел</w:t>
      </w:r>
      <w:r>
        <w:rPr>
          <w:rFonts w:ascii="Times New Roman" w:hAnsi="Times New Roman"/>
          <w:sz w:val="28"/>
        </w:rPr>
        <w:t xml:space="preserve">ения – 31 210 рублей, для трудоспособного населения – 34 019 рублей, пенсионеров – 26 841 рубль, детей – 30 692 рубля.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2025 года.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3_ch"/>
    <w:link w:val="Style_7"/>
    <w:rPr>
      <w:rFonts w:ascii="Times New Roman" w:hAnsi="Times New Roman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2024-07-15T23:39:14Z</dcterms:modified>
</cp:coreProperties>
</file>