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 xml:space="preserve"> в сфере переданных полномочий Российской Федерации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16.04.2001 № 44-ФЗ «О государственном банке данных о детях, оставшихся без попечения родителей», 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края», экспертным заключением Управления Министерства  юстиции Российской Федерации по Камчатскому краю от 18.04.2024 № МинЮст-241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регламент по предоставлению </w:t>
      </w:r>
      <w:r>
        <w:rPr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в сфере переданных полномочий Российской Федерации «</w:t>
      </w:r>
      <w:r>
        <w:rPr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Министерства социального благополучия и семейной политики Камчатского края от 02.05.2024 № 38-Н «Об утверждении Административного регламента по предоставлению органами местного самоуправления государственной услуги в сфере переданных полномочий Российской Федерации «Предоставление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семьи»</w:t>
      </w:r>
      <w:r>
        <w:rPr>
          <w:sz w:val="28"/>
        </w:rPr>
        <w:t>.</w:t>
      </w: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Горелова Ю.О.</w:t>
            </w:r>
          </w:p>
        </w:tc>
      </w:tr>
    </w:tbl>
    <w:p w14:paraId="21000000">
      <w:pPr>
        <w:sectPr>
          <w:headerReference r:id="rId3" w:type="default"/>
          <w:headerReference r:id="rId4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в сфере переданных полномочий Российской Федерации «</w:t>
      </w:r>
      <w:r>
        <w:rPr>
          <w:b w:val="1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гражданам Российской Федерации, постоянно проживающим на территории Российской Федерации, желающим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гражданам Российской Федерации, постоянно проживающим за пределами Российской Федерации, иностранным гражданам или лицам без гражданства, желающим усыновить (удочерить) детей, оставшихся без попечения родителей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Услугу</w:t>
      </w:r>
      <w:r>
        <w:rPr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 xml:space="preserve"> </w:t>
      </w:r>
      <w:r>
        <w:rPr>
          <w:sz w:val="28"/>
        </w:rPr>
        <w:t>орган местного самоуправления муниципального образования в Камчатском крае, осуществляющий государственные полномочия Камчатского края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– Орган местного самоуправления</w:t>
      </w:r>
      <w:r>
        <w:rPr>
          <w:sz w:val="28"/>
        </w:rPr>
        <w:t>)</w:t>
      </w:r>
      <w:r>
        <w:rPr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9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3A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 постановке на учет в региональном банке данных о детях</w:t>
      </w:r>
      <w:r>
        <w:rPr>
          <w:sz w:val="28"/>
        </w:rPr>
        <w:t>;</w:t>
      </w:r>
    </w:p>
    <w:p w14:paraId="3B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об  отказе в постановке на учет в региональном банке данных о детях</w:t>
      </w:r>
      <w:r>
        <w:rPr>
          <w:sz w:val="28"/>
        </w:rPr>
        <w:t>.</w:t>
      </w:r>
    </w:p>
    <w:p w14:paraId="3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F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0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4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4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4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4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0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сети «Интернет», а также на Едином портале.</w:t>
      </w:r>
    </w:p>
    <w:p w14:paraId="5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5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сети «Интернет», а также на Едином портале.</w:t>
      </w:r>
    </w:p>
    <w:p w14:paraId="5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Единый портал</w:t>
      </w:r>
      <w:r>
        <w:rPr>
          <w:sz w:val="28"/>
        </w:rPr>
        <w:t>.</w:t>
      </w:r>
    </w:p>
    <w:p w14:paraId="62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6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6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6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6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6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6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6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представительство иностранной государственной организации</w:t>
      </w:r>
      <w:r>
        <w:rPr>
          <w:sz w:val="28"/>
        </w:rPr>
        <w:t>.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6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6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6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6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6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7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7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2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>;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7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78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9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7A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7F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0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81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 постановке на учет в региональном банке данных о детях</w:t>
      </w:r>
      <w:r>
        <w:rPr>
          <w:sz w:val="28"/>
        </w:rPr>
        <w:t>;</w:t>
      </w:r>
    </w:p>
    <w:p w14:paraId="82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об  отказе в постановке на учет в региональном банке данных о детях</w:t>
      </w:r>
      <w:r>
        <w:rPr>
          <w:sz w:val="28"/>
        </w:rPr>
        <w:t>.</w:t>
      </w:r>
    </w:p>
    <w:p w14:paraId="8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страховой номер индивидуального лицевого счета (СНИЛС)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8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8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.</w:t>
      </w:r>
    </w:p>
    <w:p w14:paraId="9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9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следующего 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A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6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7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A8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D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E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AF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 постановке на учет в региональном банке данных о детях</w:t>
      </w:r>
      <w:r>
        <w:rPr>
          <w:sz w:val="28"/>
        </w:rPr>
        <w:t>;</w:t>
      </w:r>
    </w:p>
    <w:p w14:paraId="B0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об  отказе в постановке на учет в региональном банке данных о детях</w:t>
      </w:r>
      <w:r>
        <w:rPr>
          <w:sz w:val="28"/>
        </w:rPr>
        <w:t>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страховой номер индивидуального лицевого счета (СНИЛС)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B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B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F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следующих 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A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B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DC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1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2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E3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 постановке на учет в региональном банке данных о детях</w:t>
      </w:r>
      <w:r>
        <w:rPr>
          <w:sz w:val="28"/>
        </w:rPr>
        <w:t>;</w:t>
      </w:r>
    </w:p>
    <w:p w14:paraId="E4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об  отказе в постановке на учет в региональном банке данных о детях</w:t>
      </w:r>
      <w:r>
        <w:rPr>
          <w:sz w:val="28"/>
        </w:rPr>
        <w:t>.</w:t>
      </w:r>
    </w:p>
    <w:p w14:paraId="E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E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>;</w:t>
      </w:r>
    </w:p>
    <w:p w14:paraId="F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>;</w:t>
      </w:r>
    </w:p>
    <w:p w14:paraId="F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F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;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F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F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.</w:t>
      </w:r>
    </w:p>
    <w:p w14:paraId="F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0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следующего 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1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4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1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A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B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C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 постановке на учет в региональном банке данных о детях</w:t>
      </w:r>
      <w:r>
        <w:rPr>
          <w:sz w:val="28"/>
        </w:rPr>
        <w:t>;</w:t>
      </w:r>
    </w:p>
    <w:p w14:paraId="1D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об  отказе в постановке на учет в региональном банке данных о детях</w:t>
      </w:r>
      <w:r>
        <w:rPr>
          <w:sz w:val="28"/>
        </w:rPr>
        <w:t>.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2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>;</w:t>
      </w:r>
    </w:p>
    <w:p w14:paraId="2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>;</w:t>
      </w:r>
    </w:p>
    <w:p w14:paraId="2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3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;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(один из документов по выбору заявителя):</w:t>
      </w:r>
    </w:p>
    <w:p w14:paraId="3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3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3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3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3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следующих 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5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2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3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5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A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5B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 постановке на учет в региональном банке данных о детях</w:t>
      </w:r>
      <w:r>
        <w:rPr>
          <w:sz w:val="28"/>
        </w:rPr>
        <w:t>;</w:t>
      </w:r>
    </w:p>
    <w:p w14:paraId="5C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письмо органа местного самоуправления об  отказе в постановке на учет в региональном банке данных о детях</w:t>
      </w:r>
      <w:r>
        <w:rPr>
          <w:sz w:val="28"/>
        </w:rPr>
        <w:t>.</w:t>
      </w:r>
    </w:p>
    <w:p w14:paraId="5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6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6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6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>;</w:t>
      </w:r>
    </w:p>
    <w:p w14:paraId="6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>;</w:t>
      </w:r>
    </w:p>
    <w:p w14:paraId="6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>;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6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;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обязательства иностранной организации (органа) при осуществлении деятельности по усыновлению детей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.</w:t>
      </w:r>
    </w:p>
    <w:p w14:paraId="7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7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7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следующего 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7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8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89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E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F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9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(один из документов по выбору заявителя):</w:t>
      </w:r>
    </w:p>
    <w:p w14:paraId="9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9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>)</w:t>
      </w:r>
      <w:r>
        <w:rPr>
          <w:sz w:val="28"/>
        </w:rPr>
        <w:t>;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 в порядке, установленном Федеральным законом от 5 июля 2010 года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гражданина, либо нотариусом на территории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.</w:t>
      </w:r>
    </w:p>
    <w:p w14:paraId="9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A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следующего 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2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3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B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A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C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C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C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D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следующих 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;</w:t>
      </w:r>
    </w:p>
    <w:p w14:paraId="D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E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4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E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A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B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F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(один из документов по выбору заявителя):</w:t>
      </w:r>
    </w:p>
    <w:p w14:paraId="F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F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>)</w:t>
      </w:r>
      <w:r>
        <w:rPr>
          <w:sz w:val="28"/>
        </w:rPr>
        <w:t>;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 в порядке, установленном Федеральным законом от 5 июля 2010 года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гражданина, либо нотариусом на территории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.</w:t>
      </w:r>
    </w:p>
    <w:p w14:paraId="F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F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F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следующего 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0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0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E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F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1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1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5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1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2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2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2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2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2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</w:rPr>
        <w:t>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4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</w:t>
      </w:r>
      <w:r>
        <w:rPr>
          <w:sz w:val="28"/>
        </w:rPr>
        <w:t xml:space="preserve">при </w:t>
      </w:r>
      <w:r>
        <w:rPr>
          <w:sz w:val="28"/>
        </w:rPr>
        <w:t xml:space="preserve">наличии </w:t>
      </w:r>
      <w:r>
        <w:rPr>
          <w:sz w:val="28"/>
        </w:rPr>
        <w:t>следующих 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;</w:t>
      </w:r>
    </w:p>
    <w:p w14:paraId="3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3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3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F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4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4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>
        <w:rPr>
          <w:sz w:val="28"/>
        </w:rPr>
        <w:t>.</w:t>
      </w:r>
    </w:p>
    <w:p w14:paraId="4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4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4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.</w:t>
      </w:r>
    </w:p>
    <w:p w14:paraId="46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4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4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A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при личном приеме заявителя 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местного самоуправления в сети «Интернет»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по телефону Органа местного самоуправления</w:t>
      </w:r>
      <w:r>
        <w:rPr>
          <w:sz w:val="28"/>
        </w:rPr>
        <w:t>.</w:t>
      </w:r>
    </w:p>
    <w:p w14:paraId="4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sz w:val="28"/>
        </w:rPr>
        <w:t>.</w:t>
      </w:r>
      <w:r>
        <w:t xml:space="preserve"> </w:t>
      </w:r>
    </w:p>
    <w:p w14:paraId="4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 при личном обращении</w:t>
      </w:r>
      <w:r>
        <w:rPr>
          <w:sz w:val="28"/>
        </w:rPr>
        <w:t>.</w:t>
      </w:r>
    </w:p>
    <w:p w14:paraId="4E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4F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50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51020000">
      <w:pPr>
        <w:ind/>
        <w:jc w:val="both"/>
        <w:rPr>
          <w:b w:val="1"/>
          <w:sz w:val="28"/>
        </w:rPr>
      </w:pPr>
    </w:p>
    <w:p w14:paraId="52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53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54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55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56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7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8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9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A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B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C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D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E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F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0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представительство иностранной государственной организации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1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2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3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4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5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6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7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8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9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</w:tbl>
    <w:p w14:paraId="6A020000">
      <w:pPr>
        <w:ind w:firstLine="709" w:left="0"/>
        <w:jc w:val="both"/>
        <w:rPr>
          <w:sz w:val="28"/>
        </w:rPr>
      </w:pPr>
    </w:p>
    <w:p w14:paraId="6B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/>
          <w:p w14:paraId="73020000">
            <w:r>
              <w:t>1</w:t>
            </w:r>
            <w:r>
              <w:t xml:space="preserve">. </w:t>
            </w: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>.</w:t>
            </w:r>
          </w:p>
          <w:p w14:paraId="74020000">
            <w:r>
              <w:t>2</w:t>
            </w:r>
            <w:r>
              <w:t xml:space="preserve">. </w:t>
            </w: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/>
          <w:p w14:paraId="78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79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/>
          <w:p w14:paraId="7D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7E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  <w:r>
              <w:t>.</w:t>
            </w:r>
          </w:p>
          <w:p w14:paraId="7F020000">
            <w:r>
              <w:t>3</w:t>
            </w:r>
            <w:r>
              <w:t xml:space="preserve">. </w:t>
            </w:r>
            <w:r>
              <w:t>Представительство иностранной государственной организации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/>
          <w:p w14:paraId="84020000">
            <w:r>
              <w:t>1</w:t>
            </w:r>
            <w:r>
              <w:t xml:space="preserve">. </w:t>
            </w: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>.</w:t>
            </w:r>
          </w:p>
          <w:p w14:paraId="85020000">
            <w:r>
              <w:t>2</w:t>
            </w:r>
            <w:r>
              <w:t xml:space="preserve">. </w:t>
            </w: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/>
          <w:p w14:paraId="89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8A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8B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8C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8D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8E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F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90020000">
      <w:r>
        <w:rPr>
          <w:sz w:val="24"/>
        </w:rPr>
        <w:t xml:space="preserve"> </w:t>
      </w:r>
    </w:p>
    <w:p w14:paraId="91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92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93020000">
      <w:pPr>
        <w:spacing w:line="360" w:lineRule="exact"/>
        <w:ind/>
        <w:rPr>
          <w:sz w:val="24"/>
        </w:rPr>
      </w:pPr>
    </w:p>
    <w:p w14:paraId="94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>
        <w:rPr>
          <w:sz w:val="24"/>
        </w:rPr>
        <w:t>.</w:t>
      </w:r>
    </w:p>
    <w:p w14:paraId="95020000">
      <w:pPr>
        <w:spacing w:line="360" w:lineRule="exact"/>
        <w:ind/>
        <w:rPr>
          <w:sz w:val="24"/>
        </w:rPr>
      </w:pPr>
    </w:p>
    <w:p w14:paraId="96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0020000">
      <w:pPr>
        <w:spacing w:line="360" w:lineRule="exact"/>
        <w:ind/>
        <w:rPr>
          <w:sz w:val="24"/>
        </w:rPr>
      </w:pPr>
    </w:p>
    <w:p w14:paraId="A1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A2020000">
      <w:pPr>
        <w:spacing w:line="360" w:lineRule="exact"/>
        <w:ind/>
        <w:rPr>
          <w:sz w:val="24"/>
        </w:rPr>
      </w:pPr>
    </w:p>
    <w:p w14:paraId="A3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5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6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A7020000">
      <w:r>
        <w:rPr>
          <w:sz w:val="24"/>
        </w:rPr>
        <w:t xml:space="preserve"> </w:t>
      </w:r>
    </w:p>
    <w:p w14:paraId="A8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9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AA020000">
      <w:pPr>
        <w:spacing w:line="360" w:lineRule="exact"/>
        <w:ind/>
        <w:rPr>
          <w:sz w:val="24"/>
        </w:rPr>
      </w:pPr>
    </w:p>
    <w:p w14:paraId="AB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1020000">
      <w:pPr>
        <w:spacing w:line="360" w:lineRule="exact"/>
        <w:ind/>
        <w:rPr>
          <w:sz w:val="24"/>
        </w:rPr>
      </w:pPr>
    </w:p>
    <w:p w14:paraId="B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B020000">
      <w:pPr>
        <w:spacing w:line="360" w:lineRule="exact"/>
        <w:ind/>
        <w:rPr>
          <w:sz w:val="24"/>
        </w:rPr>
      </w:pPr>
    </w:p>
    <w:p w14:paraId="B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C2020000">
      <w:pPr>
        <w:spacing w:line="360" w:lineRule="exact"/>
        <w:ind/>
        <w:rPr>
          <w:sz w:val="24"/>
        </w:rPr>
      </w:pPr>
    </w:p>
    <w:p w14:paraId="C3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5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6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C7020000">
      <w:r>
        <w:rPr>
          <w:sz w:val="24"/>
        </w:rPr>
        <w:t xml:space="preserve"> </w:t>
      </w:r>
    </w:p>
    <w:p w14:paraId="C8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9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CA020000">
      <w:pPr>
        <w:spacing w:line="360" w:lineRule="exact"/>
        <w:ind/>
        <w:rPr>
          <w:sz w:val="24"/>
        </w:rPr>
      </w:pPr>
    </w:p>
    <w:p w14:paraId="CB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>
        <w:rPr>
          <w:sz w:val="24"/>
        </w:rPr>
        <w:t>.</w:t>
      </w:r>
    </w:p>
    <w:p w14:paraId="CC020000">
      <w:pPr>
        <w:spacing w:line="360" w:lineRule="exact"/>
        <w:ind/>
        <w:rPr>
          <w:sz w:val="24"/>
        </w:rPr>
      </w:pPr>
    </w:p>
    <w:p w14:paraId="CD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7020000">
      <w:pPr>
        <w:spacing w:line="360" w:lineRule="exact"/>
        <w:ind/>
        <w:rPr>
          <w:sz w:val="24"/>
        </w:rPr>
      </w:pPr>
    </w:p>
    <w:p w14:paraId="D8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D9020000">
      <w:pPr>
        <w:spacing w:line="360" w:lineRule="exact"/>
        <w:ind/>
        <w:rPr>
          <w:sz w:val="24"/>
        </w:rPr>
      </w:pPr>
    </w:p>
    <w:p w14:paraId="DA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C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D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DE020000">
      <w:r>
        <w:rPr>
          <w:sz w:val="24"/>
        </w:rPr>
        <w:t xml:space="preserve"> </w:t>
      </w:r>
    </w:p>
    <w:p w14:paraId="DF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E0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E1020000">
      <w:pPr>
        <w:spacing w:line="360" w:lineRule="exact"/>
        <w:ind/>
        <w:rPr>
          <w:sz w:val="24"/>
        </w:rPr>
      </w:pPr>
    </w:p>
    <w:p w14:paraId="E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8020000">
      <w:pPr>
        <w:spacing w:line="360" w:lineRule="exact"/>
        <w:ind/>
        <w:rPr>
          <w:sz w:val="24"/>
        </w:rPr>
      </w:pPr>
    </w:p>
    <w:p w14:paraId="E9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2020000">
      <w:pPr>
        <w:spacing w:line="360" w:lineRule="exact"/>
        <w:ind/>
        <w:rPr>
          <w:sz w:val="24"/>
        </w:rPr>
      </w:pPr>
    </w:p>
    <w:p w14:paraId="F3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9020000">
      <w:pPr>
        <w:spacing w:line="360" w:lineRule="exact"/>
        <w:ind/>
        <w:rPr>
          <w:sz w:val="24"/>
        </w:rPr>
      </w:pPr>
    </w:p>
    <w:p w14:paraId="FA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bookmarkStart w:id="1" w:name="_GoBack"/>
      <w:bookmarkEnd w:id="1"/>
    </w:p>
    <w:sectPr>
      <w:headerReference r:id="rId1" w:type="default"/>
      <w:headerReference r:id="rId2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C02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FD02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3" w:type="paragraph">
    <w:name w:val="footnote reference"/>
    <w:basedOn w:val="Style_10"/>
    <w:link w:val="Style_3_ch"/>
    <w:rPr>
      <w:vertAlign w:val="superscript"/>
    </w:rPr>
  </w:style>
  <w:style w:styleId="Style_3_ch" w:type="character">
    <w:name w:val="footnote reference"/>
    <w:basedOn w:val="Style_10_ch"/>
    <w:link w:val="Style_3"/>
    <w:rPr>
      <w:vertAlign w:val="superscript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annotation text"/>
    <w:basedOn w:val="Style_9"/>
    <w:link w:val="Style_17_ch"/>
  </w:style>
  <w:style w:styleId="Style_17_ch" w:type="character">
    <w:name w:val="annotation text"/>
    <w:basedOn w:val="Style_9_ch"/>
    <w:link w:val="Style_17"/>
  </w:style>
  <w:style w:styleId="Style_18" w:type="paragraph">
    <w:name w:val="endnote reference"/>
    <w:basedOn w:val="Style_10"/>
    <w:link w:val="Style_18_ch"/>
    <w:rPr>
      <w:vertAlign w:val="superscript"/>
    </w:rPr>
  </w:style>
  <w:style w:styleId="Style_18_ch" w:type="character">
    <w:name w:val="endnote reference"/>
    <w:basedOn w:val="Style_10_ch"/>
    <w:link w:val="Style_18"/>
    <w:rPr>
      <w:vertAlign w:val="superscript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"/>
    <w:basedOn w:val="Style_9"/>
    <w:link w:val="Style_20_ch"/>
    <w:pPr>
      <w:widowControl w:val="0"/>
      <w:ind/>
    </w:pPr>
    <w:rPr>
      <w:sz w:val="24"/>
    </w:rPr>
  </w:style>
  <w:style w:styleId="Style_20_ch" w:type="character">
    <w:name w:val="Body Text"/>
    <w:basedOn w:val="Style_9_ch"/>
    <w:link w:val="Style_20"/>
    <w:rPr>
      <w:sz w:val="24"/>
    </w:rPr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heading 1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2_ch" w:type="character">
    <w:name w:val="heading 1"/>
    <w:link w:val="Style_22"/>
    <w:rPr>
      <w:rFonts w:asciiTheme="majorAscii" w:hAnsiTheme="majorHAnsi"/>
      <w:b w:val="1"/>
      <w:color w:themeColor="accent1" w:themeShade="BF" w:val="2E75B5"/>
      <w:sz w:val="28"/>
    </w:rPr>
  </w:style>
  <w:style w:styleId="Style_23" w:type="paragraph">
    <w:name w:val="annotation reference"/>
    <w:link w:val="Style_23_ch"/>
    <w:rPr>
      <w:sz w:val="16"/>
    </w:rPr>
  </w:style>
  <w:style w:styleId="Style_23_ch" w:type="character">
    <w:name w:val="annotation reference"/>
    <w:link w:val="Style_23"/>
    <w:rPr>
      <w:sz w:val="16"/>
    </w:rPr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9"/>
    <w:link w:val="Style_25_ch"/>
  </w:style>
  <w:style w:styleId="Style_25_ch" w:type="character">
    <w:name w:val="Footnote"/>
    <w:basedOn w:val="Style_9_ch"/>
    <w:link w:val="Style_25"/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9"/>
    <w:link w:val="Style_30_ch"/>
    <w:rPr>
      <w:rFonts w:ascii="Segoe UI" w:hAnsi="Segoe UI"/>
      <w:sz w:val="18"/>
    </w:rPr>
  </w:style>
  <w:style w:styleId="Style_30_ch" w:type="character">
    <w:name w:val="Balloon Text"/>
    <w:basedOn w:val="Style_9_ch"/>
    <w:link w:val="Style_30"/>
    <w:rPr>
      <w:rFonts w:ascii="Segoe UI" w:hAnsi="Segoe UI"/>
      <w:sz w:val="18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2" w:type="paragraph">
    <w:name w:val="footer"/>
    <w:basedOn w:val="Style_9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9_ch"/>
    <w:link w:val="Style_32"/>
  </w:style>
  <w:style w:styleId="Style_33" w:type="paragraph">
    <w:name w:val="annotation subject"/>
    <w:basedOn w:val="Style_17"/>
    <w:next w:val="Style_17"/>
    <w:link w:val="Style_33_ch"/>
    <w:rPr>
      <w:b w:val="1"/>
    </w:rPr>
  </w:style>
  <w:style w:styleId="Style_33_ch" w:type="character">
    <w:name w:val="annotation subject"/>
    <w:basedOn w:val="Style_17_ch"/>
    <w:link w:val="Style_33"/>
    <w:rPr>
      <w:b w:val="1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4" Target="numbering.xml" Type="http://schemas.openxmlformats.org/officeDocument/2006/relationships/numbering"/>
  <Relationship Id="rId13" Target="endnotes.xml" Type="http://schemas.openxmlformats.org/officeDocument/2006/relationships/end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5" Target="media/1.png" Type="http://schemas.openxmlformats.org/officeDocument/2006/relationships/image"/>
  <Relationship Id="rId11" Target="theme/theme1.xml" Type="http://schemas.openxmlformats.org/officeDocument/2006/relationships/theme"/>
  <Relationship Id="rId8" Target="styles.xml" Type="http://schemas.openxmlformats.org/officeDocument/2006/relationships/styles"/>
  <Relationship Id="rId2" Target="header2.xml" Type="http://schemas.openxmlformats.org/officeDocument/2006/relationships/header"/>
  <Relationship Id="rId9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2024-06-27T03:39:42Z</dcterms:modified>
</cp:coreProperties>
</file>