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0"/>
        <w:jc w:val="right"/>
        <w:outlineLvl w:val="0"/>
      </w:pPr>
      <w:r>
        <w:t>Приложение</w:t>
      </w:r>
    </w:p>
    <w:p w14:paraId="02000000">
      <w:pPr>
        <w:pStyle w:val="Style_1"/>
        <w:ind w:firstLine="0" w:left="0"/>
        <w:jc w:val="right"/>
      </w:pPr>
      <w:r>
        <w:t>к Положению об осуществлении</w:t>
      </w:r>
    </w:p>
    <w:p w14:paraId="03000000">
      <w:pPr>
        <w:pStyle w:val="Style_1"/>
        <w:ind w:firstLine="0" w:left="0"/>
        <w:jc w:val="right"/>
      </w:pPr>
      <w:r>
        <w:t>регионального государственного</w:t>
      </w:r>
    </w:p>
    <w:p w14:paraId="04000000">
      <w:pPr>
        <w:pStyle w:val="Style_1"/>
        <w:ind w:firstLine="0" w:left="0"/>
        <w:jc w:val="right"/>
      </w:pPr>
      <w:r>
        <w:t>контроля (надзора) в сфере</w:t>
      </w:r>
    </w:p>
    <w:p w14:paraId="05000000">
      <w:pPr>
        <w:pStyle w:val="Style_1"/>
        <w:ind w:firstLine="0" w:left="0"/>
        <w:jc w:val="right"/>
      </w:pPr>
      <w:r>
        <w:t>социального обслуживания</w:t>
      </w:r>
    </w:p>
    <w:p w14:paraId="06000000">
      <w:pPr>
        <w:pStyle w:val="Style_1"/>
        <w:ind w:firstLine="0" w:left="0"/>
        <w:jc w:val="right"/>
      </w:pPr>
      <w:r>
        <w:t>в Камчатском крае</w:t>
      </w:r>
    </w:p>
    <w:p w14:paraId="07000000">
      <w:pPr>
        <w:pStyle w:val="Style_1"/>
        <w:ind w:firstLine="540" w:left="0"/>
        <w:jc w:val="both"/>
      </w:pPr>
    </w:p>
    <w:p w14:paraId="08000000">
      <w:pPr>
        <w:pStyle w:val="Style_2"/>
        <w:ind w:firstLine="0" w:left="0"/>
        <w:jc w:val="center"/>
      </w:pPr>
      <w:r>
        <w:t>ПЕРЕЧЕНЬ</w:t>
      </w:r>
    </w:p>
    <w:p w14:paraId="09000000">
      <w:pPr>
        <w:pStyle w:val="Style_2"/>
        <w:ind w:firstLine="0" w:left="0"/>
        <w:jc w:val="center"/>
      </w:pPr>
      <w:r>
        <w:t>ИНДИКАТОРОВ РИСКА НАРУШЕНИЯ ОБЯЗАТЕЛЬНЫХ</w:t>
      </w:r>
    </w:p>
    <w:p w14:paraId="0A000000">
      <w:pPr>
        <w:pStyle w:val="Style_2"/>
        <w:ind w:firstLine="0" w:left="0"/>
        <w:jc w:val="center"/>
      </w:pPr>
      <w:r>
        <w:t>ТРЕБОВАНИЙ ПРИ ОСУЩЕСТВЛЕНИИ РЕГИОНАЛЬНОГО ГОСУДАРСТВЕННОГО</w:t>
      </w:r>
    </w:p>
    <w:p w14:paraId="0B000000">
      <w:pPr>
        <w:pStyle w:val="Style_2"/>
        <w:ind w:firstLine="0" w:left="0"/>
        <w:jc w:val="center"/>
      </w:pPr>
      <w:r>
        <w:t>КОНТРОЛЯ (НАДЗОРА) В СФЕРЕ СОЦИАЛЬНОГО ОБСЛУЖИВАНИЯ</w:t>
      </w:r>
    </w:p>
    <w:p w14:paraId="0C000000">
      <w:pPr>
        <w:pStyle w:val="Style_2"/>
        <w:ind w:firstLine="0" w:left="0"/>
        <w:jc w:val="center"/>
      </w:pPr>
      <w:r>
        <w:t>И ПОРЯДОК ИХ ВЫЯВЛЕНИЯ</w:t>
      </w:r>
    </w:p>
    <w:p w14:paraId="0D000000">
      <w:pPr>
        <w:pStyle w:val="Style_1"/>
        <w:rPr>
          <w:b w:val="0"/>
          <w:i w:val="0"/>
          <w:strike w:val="0"/>
          <w:sz w:val="24"/>
          <w:u w:val="none"/>
        </w:rPr>
      </w:pPr>
    </w:p>
    <w:tbl>
      <w:tblPr>
        <w:tblStyle w:val="Style_3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E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F000000">
            <w:pPr>
              <w:pStyle w:val="Style_1"/>
              <w:rPr>
                <w:b w:val="0"/>
                <w:i w:val="0"/>
                <w:strike w:val="0"/>
                <w:sz w:val="24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0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1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Камчатского края</w:t>
            </w:r>
          </w:p>
          <w:p w14:paraId="12000000">
            <w:pPr>
              <w:pStyle w:val="Style_1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25.10.2023 N 535-П)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3000000">
            <w:pPr>
              <w:pStyle w:val="Style_1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14000000">
      <w:pPr>
        <w:pStyle w:val="Style_1"/>
        <w:ind w:firstLine="540" w:left="0"/>
        <w:jc w:val="both"/>
      </w:pPr>
    </w:p>
    <w:p w14:paraId="15000000">
      <w:pPr>
        <w:pStyle w:val="Style_1"/>
        <w:ind w:firstLine="540" w:left="0"/>
        <w:jc w:val="both"/>
      </w:pPr>
      <w:r>
        <w:t>1. При оценке риска причинения вреда (ущерба) Министерством социального благополучия и семейной политики Камчатского края используются следующие индикаторы риска нарушения обязательных требований при осуществлении регионального государственного контроля (надзора) в сфере социального обслуживания (далее соответственно - Министерство, индикаторы риска):</w:t>
      </w:r>
    </w:p>
    <w:p w14:paraId="16000000">
      <w:pPr>
        <w:pStyle w:val="Style_1"/>
        <w:spacing w:before="200"/>
        <w:ind w:firstLine="540" w:left="0"/>
        <w:jc w:val="both"/>
      </w:pPr>
      <w:r>
        <w:t>1) признание здания или помещения, используемого контролируемым лицом для социального обслуживания, аварийным и (или) ветхим;</w:t>
      </w:r>
    </w:p>
    <w:p w14:paraId="17000000">
      <w:pPr>
        <w:pStyle w:val="Style_1"/>
        <w:spacing w:before="200"/>
        <w:ind w:firstLine="540" w:left="0"/>
        <w:jc w:val="both"/>
      </w:pPr>
      <w:r>
        <w:t>2) наличие в текущем году жалобы (обращения) на деятельность поставщика социальных услуг, содержащей информацию о нарушении обязательных требований;</w:t>
      </w:r>
    </w:p>
    <w:p w14:paraId="18000000">
      <w:pPr>
        <w:pStyle w:val="Style_1"/>
        <w:spacing w:before="200"/>
        <w:ind w:firstLine="540" w:left="0"/>
        <w:jc w:val="both"/>
      </w:pPr>
      <w:r>
        <w:t>3) наличие в информационно-телекоммуникационной сети "Интернет", средствах массовой информации за год двух и более отрицательных отзывов, сведений о ненадлежащем предоставлении социальных услуг;</w:t>
      </w:r>
    </w:p>
    <w:p w14:paraId="19000000">
      <w:pPr>
        <w:pStyle w:val="Style_1"/>
        <w:spacing w:before="200"/>
        <w:ind w:firstLine="540" w:left="0"/>
        <w:jc w:val="both"/>
      </w:pPr>
      <w:r>
        <w:t>4) непредставление и (или) представление не актуальной информации поставщиком социальных услуг в реестр поставщиков социальных услуг Камчатского края.</w:t>
      </w:r>
    </w:p>
    <w:p w14:paraId="1A000000">
      <w:pPr>
        <w:pStyle w:val="Style_1"/>
        <w:spacing w:before="200"/>
        <w:ind w:firstLine="540" w:left="0"/>
        <w:jc w:val="both"/>
      </w:pPr>
      <w:r>
        <w:t>2. При выявлении индикаторов риска Министерством используются сведения, полученные в ходе проведения профилактических мероприятий, контрольных (надзорных) мероприятий, ранее осуществленных проверок в отношении поставщиков социальных услуг, от государственных органов, органов местного самоуправления и организаций в рамках межведомственного информационного взаимодействия, из обращений поставщиков социальных услуг, иных граждан и организаций, из сообщений средств массовой информации, сведения, размещенные в информационно-телекоммуникационной сети "Интернет", а также информация, содержащаяся в информационных ресурсах, в том числе имеющаяся в реестре поставщиков социальных услуг Камчатского края, и иная информация о поставщиках социальных услуг.</w:t>
      </w:r>
    </w:p>
    <w:p w14:paraId="1B000000">
      <w:pPr>
        <w:pStyle w:val="Style_1"/>
        <w:ind w:firstLine="0" w:left="0"/>
        <w:jc w:val="both"/>
      </w:pPr>
    </w:p>
    <w:p w14:paraId="1C000000">
      <w:pPr>
        <w:pStyle w:val="Style_1"/>
        <w:ind w:firstLine="0" w:left="0"/>
        <w:jc w:val="left"/>
      </w:pPr>
      <w:r>
        <w:rPr>
          <w:i w:val="1"/>
          <w:color w:val="0000FF"/>
        </w:rPr>
        <w:br/>
      </w:r>
      <w:r>
        <w:rPr>
          <w:i w:val="1"/>
          <w:color w:val="0000FF"/>
        </w:rPr>
        <w:t>Постановление Правительства Камчатского края от 30.09.2021 N 412-П (ред. от 25.10.2023) "Об утверждении Положения об осуществлении регионального государственного контроля (надзора) в сфере социального обслуживания в Камчатском крае" {КонсультантПлюс}</w:t>
      </w:r>
      <w:r>
        <w:br/>
      </w:r>
    </w:p>
    <w:sectPr>
      <w:type w:val="nextPage"/>
      <w:pgSz w:h="16838" w:orient="portrait" w:w="11906"/>
      <w:pgMar w:bottom="1440" w:footer="0" w:gut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ConsPlusCell"/>
    <w:link w:val="Style_7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7_ch" w:type="character">
    <w:name w:val="ConsPlusCell"/>
    <w:link w:val="Style_7"/>
    <w:rPr>
      <w:rFonts w:ascii="Courier New" w:hAnsi="Courier New"/>
      <w:b w:val="0"/>
      <w:i w:val="0"/>
      <w:strike w:val="0"/>
      <w:sz w:val="20"/>
      <w:u w:val="none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1_ch" w:type="character">
    <w:name w:val="ConsPlusNormal"/>
    <w:link w:val="Style_1"/>
    <w:rPr>
      <w:rFonts w:ascii="Arial" w:hAnsi="Arial"/>
      <w:b w:val="0"/>
      <w:i w:val="0"/>
      <w:strike w:val="0"/>
      <w:sz w:val="20"/>
      <w:u w:val="none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onsPlusTitlePage"/>
    <w:link w:val="Style_13_ch"/>
    <w:pPr>
      <w:widowControl w:val="0"/>
      <w:ind/>
    </w:pPr>
    <w:rPr>
      <w:rFonts w:ascii="Tahoma" w:hAnsi="Tahoma"/>
      <w:b w:val="0"/>
      <w:i w:val="0"/>
      <w:strike w:val="0"/>
      <w:sz w:val="20"/>
      <w:u w:val="none"/>
    </w:rPr>
  </w:style>
  <w:style w:styleId="Style_13_ch" w:type="character">
    <w:name w:val="ConsPlusTitlePage"/>
    <w:link w:val="Style_13"/>
    <w:rPr>
      <w:rFonts w:ascii="Tahoma" w:hAnsi="Tahoma"/>
      <w:b w:val="0"/>
      <w:i w:val="0"/>
      <w:strike w:val="0"/>
      <w:sz w:val="20"/>
      <w:u w:val="none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i w:val="0"/>
      <w:strike w:val="0"/>
      <w:sz w:val="20"/>
      <w:u w:val="none"/>
    </w:rPr>
  </w:style>
  <w:style w:styleId="Style_2_ch" w:type="character">
    <w:name w:val="ConsPlusTitle"/>
    <w:link w:val="Style_2"/>
    <w:rPr>
      <w:rFonts w:ascii="Arial" w:hAnsi="Arial"/>
      <w:b w:val="1"/>
      <w:i w:val="0"/>
      <w:strike w:val="0"/>
      <w:sz w:val="20"/>
      <w:u w:val="none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ConsPlusDocList"/>
    <w:link w:val="Style_21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1_ch" w:type="character">
    <w:name w:val="ConsPlusDocList"/>
    <w:link w:val="Style_21"/>
    <w:rPr>
      <w:rFonts w:ascii="Tahoma" w:hAnsi="Tahoma"/>
      <w:b w:val="0"/>
      <w:i w:val="0"/>
      <w:strike w:val="0"/>
      <w:sz w:val="18"/>
      <w:u w:val="none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PlusNonformat"/>
    <w:link w:val="Style_25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5_ch" w:type="character">
    <w:name w:val="ConsPlusNonformat"/>
    <w:link w:val="Style_25"/>
    <w:rPr>
      <w:rFonts w:ascii="Courier New" w:hAnsi="Courier New"/>
      <w:b w:val="0"/>
      <w:i w:val="0"/>
      <w:strike w:val="0"/>
      <w:sz w:val="20"/>
      <w:u w:val="none"/>
    </w:rPr>
  </w:style>
  <w:style w:styleId="Style_26" w:type="paragraph">
    <w:name w:val="ConsPlusTextList_0"/>
    <w:link w:val="Style_26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26_ch" w:type="character">
    <w:name w:val="ConsPlusTextList_0"/>
    <w:link w:val="Style_26"/>
    <w:rPr>
      <w:rFonts w:ascii="Arial" w:hAnsi="Arial"/>
      <w:b w:val="0"/>
      <w:i w:val="0"/>
      <w:strike w:val="0"/>
      <w:sz w:val="20"/>
      <w:u w:val="none"/>
    </w:rPr>
  </w:style>
  <w:style w:styleId="Style_27" w:type="paragraph">
    <w:name w:val="ConsPlusJurTerm"/>
    <w:link w:val="Style_27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27_ch" w:type="character">
    <w:name w:val="ConsPlusJurTerm"/>
    <w:link w:val="Style_27"/>
    <w:rPr>
      <w:rFonts w:ascii="Tahoma" w:hAnsi="Tahoma"/>
      <w:b w:val="0"/>
      <w:i w:val="0"/>
      <w:strike w:val="0"/>
      <w:sz w:val="26"/>
      <w:u w:val="none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ConsPlusTextList"/>
    <w:link w:val="Style_32_ch"/>
    <w:pPr>
      <w:widowControl w:val="0"/>
      <w:ind/>
    </w:pPr>
    <w:rPr>
      <w:rFonts w:ascii="Arial" w:hAnsi="Arial"/>
      <w:b w:val="0"/>
      <w:i w:val="0"/>
      <w:strike w:val="0"/>
      <w:sz w:val="20"/>
      <w:u w:val="none"/>
    </w:rPr>
  </w:style>
  <w:style w:styleId="Style_32_ch" w:type="character">
    <w:name w:val="ConsPlusTextList"/>
    <w:link w:val="Style_32"/>
    <w:rPr>
      <w:rFonts w:ascii="Arial" w:hAnsi="Arial"/>
      <w:b w:val="0"/>
      <w:i w:val="0"/>
      <w:strike w:val="0"/>
      <w:sz w:val="20"/>
      <w:u w:val="none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2024-04-22T03:46:25Z</dcterms:modified>
</cp:coreProperties>
</file>