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bookmarkStart w:id="1" w:name="_GoBack"/>
      <w:bookmarkEnd w:id="1"/>
    </w:p>
    <w:p w14:paraId="0A000000">
      <w:pPr>
        <w:ind/>
        <w:jc w:val="center"/>
        <w:rPr>
          <w:sz w:val="28"/>
        </w:rPr>
      </w:pPr>
      <w:r>
        <w:rPr>
          <w:sz w:val="28"/>
        </w:rPr>
        <w:t>МИНИСТЕРСТВО СОЦИАЛЬНОГО БЛАГОПОЛУЧИЯ И СЕМЕЙНОЙ ПОЛИТИКИ КАМЧАТСКОГО КРАЯ</w:t>
      </w:r>
    </w:p>
    <w:p w14:paraId="0B000000">
      <w:pPr>
        <w:ind/>
        <w:jc w:val="center"/>
        <w:rPr>
          <w:sz w:val="24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tbl>
      <w:tblPr>
        <w:tblStyle w:val="Style_2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/>
        </w:tc>
        <w:tc>
          <w:tcPr>
            <w:tcW w:type="dxa" w:w="45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/>
        </w:tc>
      </w:tr>
    </w:tbl>
    <w:p w14:paraId="0F000000">
      <w:pPr>
        <w:ind w:firstLine="993" w:left="0"/>
        <w:rPr>
          <w:sz w:val="28"/>
        </w:rPr>
      </w:pPr>
      <w:r>
        <w:rPr>
          <w:sz w:val="28"/>
        </w:rPr>
        <w:tab/>
      </w:r>
    </w:p>
    <w:p w14:paraId="10000000">
      <w:pPr>
        <w:ind w:firstLine="993" w:left="0"/>
        <w:rPr>
          <w:b w:val="1"/>
          <w:sz w:val="28"/>
        </w:rPr>
      </w:pPr>
    </w:p>
    <w:p w14:paraId="11000000">
      <w:pPr>
        <w:ind/>
        <w:jc w:val="center"/>
        <w:rPr>
          <w:sz w:val="28"/>
        </w:rPr>
      </w:pPr>
      <w:r>
        <w:rPr>
          <w:sz w:val="28"/>
        </w:rPr>
        <w:t>Камчатский край</w:t>
      </w:r>
      <w:r>
        <w:rPr>
          <w:sz w:val="28"/>
        </w:rPr>
        <w:t xml:space="preserve"> </w:t>
      </w:r>
    </w:p>
    <w:p w14:paraId="12000000">
      <w:pPr>
        <w:ind/>
        <w:jc w:val="center"/>
        <w:rPr>
          <w:b w:val="1"/>
          <w:sz w:val="28"/>
        </w:rPr>
      </w:pPr>
    </w:p>
    <w:p w14:paraId="1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 предоставлению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органами местного самоуправления</w:t>
      </w:r>
      <w:r>
        <w:rPr>
          <w:sz w:val="28"/>
        </w:rPr>
        <w:t xml:space="preserve"> </w:t>
      </w:r>
      <w:r>
        <w:rPr>
          <w:b w:val="1"/>
          <w:sz w:val="28"/>
        </w:rPr>
        <w:t>государственной услуги</w:t>
      </w:r>
      <w:r>
        <w:rPr>
          <w:b w:val="1"/>
          <w:sz w:val="28"/>
        </w:rPr>
        <w:t xml:space="preserve"> в сфере переданных полномочий Российской Федерации </w:t>
      </w:r>
      <w:r>
        <w:rPr>
          <w:b w:val="1"/>
          <w:sz w:val="28"/>
        </w:rPr>
        <w:t>«</w:t>
      </w:r>
      <w:r>
        <w:rPr>
          <w:b w:val="1"/>
          <w:sz w:val="28"/>
        </w:rPr>
        <w:t>Предоставление органами местного самоуправления муниципальных образований в Камчатском крае, осуществляющими переданные полномочия Камчатского края, государственной услуги по назначению и выплате единовременной денежной выплаты гражданам, усыновившим (удочерившим) ребенка (детей) в Камчатском крае</w:t>
      </w:r>
      <w:r>
        <w:rPr>
          <w:b w:val="1"/>
          <w:sz w:val="28"/>
        </w:rPr>
        <w:t>»</w:t>
      </w:r>
    </w:p>
    <w:p w14:paraId="15000000">
      <w:pPr>
        <w:ind w:firstLine="709" w:left="0"/>
        <w:rPr>
          <w:sz w:val="28"/>
        </w:rPr>
      </w:pP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Закон Камчатского края от 18.09.2008 № 122 "О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крае", Закон Камчатского края от 03.12.2007 № 702 "Об организации и осуществлении деятельности по опеке и попечительству в Камчатском крае" , Закон Камчатского края от 01.04.2014 № 419 "О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крае" , Постановление Правительства Российской Федерации от 16.05.2011 №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 Гражданский кодекс Российской Федерации (часть первая) от 30.11.1994 № 51-ФЗ, Семейный кодекс Российской Федерации от 29.12.1995 № 223-ФЗ</w:t>
      </w:r>
    </w:p>
    <w:p w14:paraId="17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прилагаемый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дминистративный регламент по предоставлению органами местного самоуправления </w:t>
      </w:r>
      <w:r>
        <w:rPr>
          <w:sz w:val="28"/>
        </w:rPr>
        <w:t>государственной услуги в сфере переданных полномочий Российской Федерации «</w:t>
      </w:r>
      <w:r>
        <w:rPr>
          <w:sz w:val="28"/>
        </w:rPr>
        <w:t>Предоставление органами местного самоуправления муниципальных образований в Камчатском крае, осуществляющими переданные полномочия Камчатского края, государственной услуги по назначению и выплате единовременной денежной выплаты гражданам, усыновившим (удочерившим) ребенка (детей) в Камчатском крае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8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Признать</w:t>
      </w:r>
      <w:r>
        <w:rPr>
          <w:sz w:val="28"/>
        </w:rPr>
        <w:t xml:space="preserve"> </w:t>
      </w:r>
      <w:r>
        <w:rPr>
          <w:sz w:val="28"/>
        </w:rPr>
        <w:t>утратившим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sz w:val="28"/>
        </w:rPr>
        <w:t>:</w:t>
      </w:r>
    </w:p>
    <w:p w14:paraId="19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приказ Министерства социального благополучия и семейной политики Камчатского края от 28.05.2021 № 835-п "Об утверждении Административного </w:t>
      </w:r>
      <w:r>
        <w:rPr>
          <w:sz w:val="28"/>
        </w:rPr>
        <w:t>регламента предоставления органами местного самоуправления муниципальных образований в Камчатском крае, осуществляющими переданные полномочия Камчатского края, государственной услуги по назначению и выплате единовременной денежной выплаты гражданам, усыновившим (удочерившим) ребенка (детей) в Камчатском крае";</w:t>
      </w:r>
      <w:r>
        <w:rPr>
          <w:sz w:val="28"/>
        </w:rPr>
        <w:t>;</w:t>
      </w:r>
    </w:p>
    <w:p w14:paraId="1A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приказ Министерства социального благополучия и семейной политики Камчатского края от 16.09.2021 № 1419-п "О внесении изменения в приложение к приказу Министерства социального благополучия и семейной политики Камчатского края от 28.05.2021 № 835-п "Об утверждении Административного регламента предоставления органами местного самоуправления муниципальных образований в Камчатском крае, осуществляющими переданные полномочия Камчатского края, государственной услуги по назначению и выплате единовременной денежной выплаты гражданам, усыновившим (удочерившим) ребенка (детей) в Камчатском крае"</w:t>
      </w:r>
      <w:r>
        <w:rPr>
          <w:sz w:val="28"/>
        </w:rPr>
        <w:t>.</w:t>
      </w:r>
    </w:p>
    <w:p w14:paraId="1B000000">
      <w:pPr>
        <w:keepNext w:val="1"/>
        <w:ind w:firstLine="709" w:left="0"/>
        <w:jc w:val="both"/>
        <w:rPr>
          <w:sz w:val="28"/>
        </w:rPr>
      </w:pPr>
    </w:p>
    <w:p w14:paraId="1C000000">
      <w:pPr>
        <w:keepNext w:val="1"/>
        <w:ind w:firstLine="709" w:left="0"/>
        <w:jc w:val="both"/>
        <w:rPr>
          <w:sz w:val="28"/>
        </w:rPr>
      </w:pPr>
    </w:p>
    <w:p w14:paraId="1D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keepNext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F000000">
            <w:pPr>
              <w:keepNext w:val="1"/>
              <w:ind w:right="-114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292985" cy="88265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2292985" cy="882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0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sz w:val="28"/>
              </w:rPr>
              <w:t>Ю.О. Горелова</w:t>
            </w:r>
          </w:p>
        </w:tc>
      </w:tr>
    </w:tbl>
    <w:p w14:paraId="21000000">
      <w:pPr>
        <w:sectPr>
          <w:headerReference r:id="rId1" w:type="first"/>
          <w:headerReference r:id="rId3" w:type="defaul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2000000">
      <w:pPr>
        <w:spacing w:before="240"/>
        <w:ind w:firstLine="0" w:left="6237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23000000">
      <w:pPr>
        <w:ind w:firstLine="0" w:left="7371"/>
        <w:jc w:val="center"/>
        <w:rPr>
          <w:b w:val="1"/>
          <w:sz w:val="28"/>
        </w:rPr>
      </w:pPr>
    </w:p>
    <w:p w14:paraId="2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 предоставлению органами местного самоуправления</w:t>
      </w:r>
      <w:r>
        <w:rPr>
          <w:sz w:val="28"/>
        </w:rPr>
        <w:t xml:space="preserve"> </w:t>
      </w:r>
      <w:r>
        <w:rPr>
          <w:b w:val="1"/>
          <w:sz w:val="28"/>
        </w:rPr>
        <w:t>государственной услуги в сфере переданных полномочий Российской Федерации «</w:t>
      </w:r>
      <w:r>
        <w:rPr>
          <w:b w:val="1"/>
          <w:sz w:val="28"/>
        </w:rPr>
        <w:t>Предоставление органами местного самоуправления муниципальных образований в Камчатском крае, осуществляющими переданные полномочия Камчатского края, государственной услуги по назначению и выплате единовременной денежной выплаты гражданам, усыновившим (удочерившим) ребенка (детей) в Камчатском крае</w:t>
      </w:r>
      <w:r>
        <w:rPr>
          <w:b w:val="1"/>
          <w:sz w:val="28"/>
        </w:rPr>
        <w:t>»</w:t>
      </w:r>
    </w:p>
    <w:p w14:paraId="26000000">
      <w:pPr>
        <w:ind w:firstLine="709" w:left="0"/>
        <w:rPr>
          <w:sz w:val="28"/>
        </w:rPr>
      </w:pPr>
    </w:p>
    <w:p w14:paraId="27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28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 xml:space="preserve">государственной </w:t>
      </w:r>
      <w:r>
        <w:rPr>
          <w:sz w:val="28"/>
        </w:rPr>
        <w:t>услуги «</w:t>
      </w:r>
      <w:r>
        <w:rPr>
          <w:sz w:val="28"/>
        </w:rPr>
        <w:t>Предоставление органами местного самоуправления муниципальных образований в Камчатском крае, осуществляющими переданные полномочия Камчатского края, государственной услуги по назначению и выплате единовременной денежной выплаты гражданам, усыновившим (удочерившим) ребенка (детей) в Камчатском крае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9000000">
      <w:pPr>
        <w:numPr>
          <w:ilvl w:val="0"/>
          <w:numId w:val="2"/>
        </w:numPr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гражданину Российсской Федерации, являющемуся  усыновителем ребенка, не достигшего возраста 18 лет (за исключением если усыновителем является отчим или мачеха ребенка), проживащий совместно с усыновленным (удочеренным) ребенком на территории Камчатского кграя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2A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B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2C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2D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портал).</w:t>
      </w:r>
    </w:p>
    <w:p w14:paraId="2E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2F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30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органами местного самоуправления муниципальных образований в Камчатском крае, осуществляющими переданные полномочия Камчатского края, государственной услуги по назначению и выплате единовременной денежной выплаты гражданам, усыновившим (удочерившим) ребенка (детей) в Камчатском крае</w:t>
      </w:r>
      <w:r>
        <w:rPr>
          <w:sz w:val="28"/>
        </w:rPr>
        <w:t>.</w:t>
      </w:r>
    </w:p>
    <w:p w14:paraId="3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2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Услугу</w:t>
      </w:r>
      <w:r>
        <w:rPr>
          <w:sz w:val="28"/>
        </w:rPr>
        <w:t xml:space="preserve"> </w:t>
      </w:r>
      <w:r>
        <w:rPr>
          <w:sz w:val="28"/>
        </w:rPr>
        <w:t>предоставляет</w:t>
      </w:r>
      <w:r>
        <w:rPr>
          <w:sz w:val="28"/>
        </w:rPr>
        <w:t xml:space="preserve"> </w:t>
      </w:r>
      <w:r>
        <w:rPr>
          <w:sz w:val="28"/>
        </w:rPr>
        <w:t>Орган местного самоуправления</w:t>
      </w:r>
      <w:r>
        <w:rPr>
          <w:sz w:val="28"/>
        </w:rPr>
        <w:t xml:space="preserve"> (далее</w:t>
      </w:r>
      <w:r>
        <w:rPr>
          <w:sz w:val="28"/>
        </w:rPr>
        <w:t xml:space="preserve"> – Орган местного самоуправления</w:t>
      </w:r>
      <w:r>
        <w:rPr>
          <w:sz w:val="28"/>
        </w:rPr>
        <w:t>).</w:t>
      </w:r>
    </w:p>
    <w:p w14:paraId="33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5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выплатой усыновителю денежных средств на содержание усыновленного ребенка</w:t>
      </w:r>
      <w:r>
        <w:rPr>
          <w:sz w:val="28"/>
        </w:rPr>
        <w:t xml:space="preserve"> </w:t>
      </w:r>
      <w:r>
        <w:rPr>
          <w:sz w:val="28"/>
        </w:rPr>
        <w:t>результатом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является</w:t>
      </w:r>
      <w:r>
        <w:rPr>
          <w:sz w:val="28"/>
        </w:rPr>
        <w:t xml:space="preserve"> </w:t>
      </w:r>
      <w:r>
        <w:rPr>
          <w:sz w:val="28"/>
        </w:rPr>
        <w:t>решение о назначении/отказе в назначении денежной выплаты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36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7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акт органа местного самоуправления, осуществляющего переданные полномочия по опеке и попечительству в Камчатском крае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дата принятия решения</w:t>
      </w:r>
      <w:r>
        <w:rPr>
          <w:sz w:val="28"/>
        </w:rPr>
        <w:t xml:space="preserve">,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ФИО подписанта</w:t>
      </w:r>
      <w:r>
        <w:rPr>
          <w:sz w:val="28"/>
        </w:rPr>
        <w:t>.</w:t>
      </w:r>
    </w:p>
    <w:p w14:paraId="38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опечаток и (или) ошибок, допущенных в результате предоставления Услуги,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исправлении ошибки (ошибок)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исправлении ошибки (ошибок)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3B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C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 xml:space="preserve">акт органа местного самоуправления, осуществляющего переданные полномочия по </w:t>
      </w:r>
      <w:r>
        <w:rPr>
          <w:sz w:val="28"/>
        </w:rPr>
        <w:t>опеке и попечительству в Камчатском крае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дата принятия решения</w:t>
      </w:r>
      <w:r>
        <w:rPr>
          <w:sz w:val="28"/>
        </w:rPr>
        <w:t xml:space="preserve">,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ФИО подписанта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D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 могут быть получены</w:t>
      </w:r>
      <w:r>
        <w:rPr>
          <w:sz w:val="28"/>
        </w:rPr>
        <w:t xml:space="preserve"> </w:t>
      </w:r>
      <w:r>
        <w:rPr>
          <w:sz w:val="28"/>
        </w:rPr>
        <w:t>личное обращение в орган опеки и попечительства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личный кабинет на Едином портале</w:t>
      </w:r>
      <w:r>
        <w:rPr>
          <w:sz w:val="28"/>
        </w:rPr>
        <w:t>.</w:t>
      </w:r>
    </w:p>
    <w:p w14:paraId="3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3F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11 рабочих 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 xml:space="preserve"> (далее – заявление)</w:t>
      </w:r>
      <w:r>
        <w:rPr>
          <w:sz w:val="28"/>
        </w:rPr>
        <w:t xml:space="preserve"> и документов, необходимых для предоставления Услуги.</w:t>
      </w:r>
    </w:p>
    <w:p w14:paraId="40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4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42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 размещены на официальном сайте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4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4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4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</w:t>
      </w:r>
      <w:r>
        <w:rPr>
          <w:sz w:val="28"/>
        </w:rPr>
        <w:t xml:space="preserve">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</w:rPr>
        <w:t xml:space="preserve"> </w:t>
      </w:r>
      <w:r>
        <w:rPr>
          <w:sz w:val="28"/>
        </w:rPr>
        <w:t xml:space="preserve">которые </w:t>
      </w:r>
      <w:r>
        <w:rPr>
          <w:sz w:val="28"/>
        </w:rPr>
        <w:t>заявитель вправе предста</w:t>
      </w:r>
      <w:r>
        <w:rPr>
          <w:sz w:val="28"/>
        </w:rPr>
        <w:t>вить по собственной инициативе</w:t>
      </w:r>
      <w:r>
        <w:rPr>
          <w:sz w:val="28"/>
        </w:rPr>
        <w:t>:</w:t>
      </w:r>
    </w:p>
    <w:p w14:paraId="4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личное обращение в орган опеки и попечительства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>)</w:t>
      </w:r>
      <w:r>
        <w:rPr>
          <w:sz w:val="28"/>
        </w:rPr>
        <w:t>;</w:t>
      </w:r>
    </w:p>
    <w:p w14:paraId="4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личное обращение в орган опеки и попечительства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судебные акты</w:t>
      </w:r>
      <w:r>
        <w:rPr>
          <w:sz w:val="28"/>
        </w:rPr>
        <w:t>,</w:t>
      </w:r>
      <w:r>
        <w:rPr>
          <w:sz w:val="28"/>
        </w:rPr>
        <w:t xml:space="preserve"> – копия решения суда об усыновлении ребенка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личное обращение в орган опеки и попечительства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настоящем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разделе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личное обращение в орган опеки и попечительства</w:t>
      </w:r>
      <w:r>
        <w:rPr>
          <w:sz w:val="28"/>
        </w:rPr>
        <w:t>.</w:t>
      </w:r>
    </w:p>
    <w:p w14:paraId="4A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документов, </w:t>
      </w:r>
      <w:r>
        <w:rPr>
          <w:b w:val="1"/>
          <w:sz w:val="28"/>
        </w:rPr>
        <w:t>необходимых для предоставления Услуги</w:t>
      </w:r>
    </w:p>
    <w:p w14:paraId="4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</w:t>
      </w:r>
      <w:r>
        <w:rPr>
          <w:sz w:val="28"/>
        </w:rPr>
        <w:t>й</w:t>
      </w:r>
      <w:r>
        <w:rPr>
          <w:sz w:val="28"/>
        </w:rPr>
        <w:t>:</w:t>
      </w:r>
    </w:p>
    <w:p w14:paraId="4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4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не установлена</w:t>
      </w:r>
      <w:r>
        <w:rPr>
          <w:sz w:val="28"/>
        </w:rPr>
        <w:t>;</w:t>
      </w:r>
    </w:p>
    <w:p w14:paraId="4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выданных в результате предоставления государственной услуги документах не содержатся опечатки и ошибки</w:t>
      </w:r>
      <w:r>
        <w:rPr>
          <w:sz w:val="28"/>
        </w:rPr>
        <w:t>;</w:t>
      </w:r>
    </w:p>
    <w:p w14:paraId="4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соответствует требованиям законодательства Российской Федерации</w:t>
      </w:r>
      <w:r>
        <w:rPr>
          <w:sz w:val="28"/>
        </w:rPr>
        <w:t>;</w:t>
      </w:r>
    </w:p>
    <w:p w14:paraId="5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>
        <w:rPr>
          <w:sz w:val="28"/>
        </w:rPr>
        <w:t>.</w:t>
      </w:r>
    </w:p>
    <w:p w14:paraId="5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 xml:space="preserve">Основания для приостановления предоставления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отказывает заявителю в предоставлении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не предоставлены</w:t>
      </w:r>
      <w:r>
        <w:rPr>
          <w:sz w:val="28"/>
        </w:rPr>
        <w:t>.</w:t>
      </w:r>
    </w:p>
    <w:p w14:paraId="54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5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</w:rPr>
        <w:t>.</w:t>
      </w:r>
    </w:p>
    <w:p w14:paraId="5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5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b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5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5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5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5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5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>
        <w:rPr>
          <w:sz w:val="28"/>
        </w:rPr>
        <w:t>;</w:t>
      </w:r>
    </w:p>
    <w:p w14:paraId="5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территории, прилегающей к зданию Органа местного самоуправления,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</w:t>
      </w:r>
      <w:r>
        <w:rPr>
          <w:sz w:val="28"/>
        </w:rPr>
        <w:t>;</w:t>
      </w:r>
    </w:p>
    <w:p w14:paraId="5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>
        <w:rPr>
          <w:sz w:val="28"/>
        </w:rPr>
        <w:t>;</w:t>
      </w:r>
    </w:p>
    <w:p w14:paraId="6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обеспечена возможность самостоятельного передвижения по территории здания, в котором предоставляется Услуга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</w:t>
      </w:r>
      <w:r>
        <w:rPr>
          <w:sz w:val="28"/>
        </w:rPr>
        <w:t>;</w:t>
      </w:r>
    </w:p>
    <w:p w14:paraId="6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сопровождение инвалидов, имеющих стойкие расстройства функций зрения и самостоятельного передвижения, и оказание им помощи в помещениях</w:t>
      </w:r>
      <w:r>
        <w:rPr>
          <w:sz w:val="28"/>
        </w:rPr>
        <w:t>;</w:t>
      </w:r>
    </w:p>
    <w:p w14:paraId="6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>
        <w:rPr>
          <w:sz w:val="28"/>
        </w:rPr>
        <w:t>;</w:t>
      </w:r>
    </w:p>
    <w:p w14:paraId="6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центральный вход в здание, в котором предоставляется Услуга, оборудован информационной табличкой (вывеской), содержащей информации о наименовании Учреждения, месте его нахождения и графике работы</w:t>
      </w:r>
      <w:r>
        <w:rPr>
          <w:sz w:val="28"/>
        </w:rPr>
        <w:t>;</w:t>
      </w:r>
    </w:p>
    <w:p w14:paraId="6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>
        <w:rPr>
          <w:sz w:val="28"/>
        </w:rPr>
        <w:t>;</w:t>
      </w:r>
    </w:p>
    <w:p w14:paraId="6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>
        <w:rPr>
          <w:sz w:val="28"/>
        </w:rPr>
        <w:t>;</w:t>
      </w:r>
    </w:p>
    <w:p w14:paraId="6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доступных мест общего пользования (туалетов)</w:t>
      </w:r>
      <w:r>
        <w:rPr>
          <w:sz w:val="28"/>
        </w:rPr>
        <w:t>;</w:t>
      </w:r>
    </w:p>
    <w:p w14:paraId="6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заявителей осуществляется в кабинетах, которые оборудуются информационными табличками с указанием номера кабинета; фамилии, имени и отчества должностного лица, осуществляющего предоставление Услуги. Рабочие места должностных лиц, предоставляющих Услугу, оборудуются столами, стульями, компьютерами и оргтехникой, позволяющими своевременно и в полном объеме предоставлять Услугу</w:t>
      </w:r>
      <w:r>
        <w:rPr>
          <w:sz w:val="28"/>
        </w:rPr>
        <w:t>;</w:t>
      </w:r>
    </w:p>
    <w:p w14:paraId="6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оказание должностными лицами, предоставляющими Услугу, иной необходимой инвалидам помощи в преодолении барьеров, мешающих получению </w:t>
      </w:r>
      <w:r>
        <w:rPr>
          <w:sz w:val="28"/>
        </w:rPr>
        <w:t>Услуги и использованию помещений наравне с другими лицами</w:t>
      </w:r>
      <w:r>
        <w:rPr>
          <w:sz w:val="28"/>
        </w:rPr>
        <w:t>;</w:t>
      </w:r>
    </w:p>
    <w:p w14:paraId="6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>
        <w:rPr>
          <w:sz w:val="28"/>
        </w:rPr>
        <w:t>;</w:t>
      </w:r>
    </w:p>
    <w:p w14:paraId="6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о местонахождении подразделения, предоставляющего Услугу, его почтовом адресе, графике работы, справочных телефонах, номерах телефонов-автоинформаторов (при наличии), адресе официального сайта в сети «Интернет», а также информацию о возможности получения Услуги в электронной форме</w:t>
      </w:r>
      <w:r>
        <w:rPr>
          <w:sz w:val="28"/>
        </w:rPr>
        <w:t>;</w:t>
      </w:r>
    </w:p>
    <w:p w14:paraId="6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заявителю обеспечивается доступ к следующим документам и сведениям в электронном виде или на бумажном носителе: копиям нормативных правовых актов, регулирующих деятельность по предоставлению </w:t>
      </w:r>
      <w:r>
        <w:rPr>
          <w:sz w:val="28"/>
        </w:rPr>
        <w:t>Услуги, тексту Административного регламента</w:t>
      </w:r>
      <w:r>
        <w:rPr>
          <w:sz w:val="28"/>
        </w:rPr>
        <w:t>;</w:t>
      </w:r>
    </w:p>
    <w:p w14:paraId="6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надлежащее размещение оборудования и носителей информации, необходимых для обеспечения беспрепятственного доступа к объектам (зданиям, помещениям), где предоставляется Услуга, с учетом ограничений жизнедеятельности</w:t>
      </w:r>
      <w:r>
        <w:rPr>
          <w:sz w:val="28"/>
        </w:rPr>
        <w:t>;</w:t>
      </w:r>
    </w:p>
    <w:p w14:paraId="6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>
        <w:rPr>
          <w:sz w:val="28"/>
        </w:rPr>
        <w:t>;</w:t>
      </w:r>
    </w:p>
    <w:p w14:paraId="6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 допуск сурдопереводчика и тифлосурдопереводчика</w:t>
      </w:r>
      <w:r>
        <w:rPr>
          <w:sz w:val="28"/>
        </w:rPr>
        <w:t>;</w:t>
      </w:r>
    </w:p>
    <w:p w14:paraId="7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помещениях на видном месте располагаются схемы средств пожаротушения и пути эвакуации посетителей и должностных лиц</w:t>
      </w:r>
      <w:r>
        <w:rPr>
          <w:sz w:val="28"/>
        </w:rPr>
        <w:t>;</w:t>
      </w:r>
    </w:p>
    <w:p w14:paraId="7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оборудование на прилегающей к помещениям парковке (последняя – при наличии) не менее 10 процентов мест (но не менее одного места) для стоянки специальных автотранспортных средств инвалидов</w:t>
      </w:r>
      <w:r>
        <w:rPr>
          <w:sz w:val="28"/>
        </w:rPr>
        <w:t>;</w:t>
      </w:r>
    </w:p>
    <w:p w14:paraId="7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доступ заявителей к парковочным местам является бесплатным</w:t>
      </w:r>
      <w:r>
        <w:rPr>
          <w:sz w:val="28"/>
        </w:rPr>
        <w:t>;</w:t>
      </w:r>
    </w:p>
    <w:p w14:paraId="7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</w:t>
      </w:r>
      <w:r>
        <w:rPr>
          <w:sz w:val="28"/>
        </w:rPr>
        <w:t>.</w:t>
      </w:r>
    </w:p>
    <w:p w14:paraId="7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75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sz w:val="28"/>
        </w:rPr>
        <w:t xml:space="preserve"> </w:t>
      </w:r>
    </w:p>
    <w:p w14:paraId="7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выбора заявителем формы обращения за предоставлением Услуги (с использованием Единого портала, Регионального портала)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выбора заявителем формы обращения за предоставлением Услуги (лично, в форме электронного документа с использованием Единого портала, почтовой связи, через МФЦ)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доступность обращения за предоставлением Услуги, в том числе для маломобильных групп населения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полнота и актуальность информации о порядке предоставления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степень информированности заявителей (представителей) о порядке предоставления государственной услуги (доступность информации о государственной услуге, возможность выбора способа получения информации)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возможность получения заявителем уведомлений о предоставлении государственной услуги с помощью </w:t>
      </w:r>
      <w:r>
        <w:rPr>
          <w:sz w:val="28"/>
        </w:rPr>
        <w:t>ЕПГУ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степень информированности заявителей о предоставлении государственной услуги, в том числе доступность информации о государственной услуге, многообразие способов получения такой информации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заявителю возможности подачи заявления как в письменной форме, так и в форме электронного документа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оперативность и достоверность предоставляемой информации о порядке предоставления Услуги</w:t>
      </w:r>
      <w:r>
        <w:rPr>
          <w:sz w:val="28"/>
        </w:rPr>
        <w:t>.</w:t>
      </w:r>
    </w:p>
    <w:p w14:paraId="82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качества предоставления Услуги относятся:</w:t>
      </w:r>
    </w:p>
    <w:p w14:paraId="8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достоверность предоставляемой заявителям информации о сроках, порядке предоставления Услуги, документах, необходимых для ее предоставления</w:t>
      </w:r>
      <w:r>
        <w:rPr>
          <w:sz w:val="28"/>
        </w:rPr>
        <w:t>;</w:t>
      </w:r>
    </w:p>
    <w:p w14:paraId="8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достоверность предоставляемой заявителям информации о ходе предоставления Услуги</w:t>
      </w:r>
      <w:r>
        <w:rPr>
          <w:sz w:val="28"/>
        </w:rPr>
        <w:t>;</w:t>
      </w:r>
    </w:p>
    <w:p w14:paraId="8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 департамента,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>
        <w:rPr>
          <w:sz w:val="28"/>
        </w:rPr>
        <w:t>;</w:t>
      </w:r>
    </w:p>
    <w:p w14:paraId="8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>
        <w:rPr>
          <w:sz w:val="28"/>
        </w:rPr>
        <w:t>;</w:t>
      </w:r>
    </w:p>
    <w:p w14:paraId="8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>
        <w:rPr>
          <w:sz w:val="28"/>
        </w:rPr>
        <w:t>;</w:t>
      </w:r>
    </w:p>
    <w:p w14:paraId="8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>
        <w:rPr>
          <w:sz w:val="28"/>
        </w:rPr>
        <w:t>;</w:t>
      </w:r>
    </w:p>
    <w:p w14:paraId="8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портала, Регионального портала</w:t>
      </w:r>
      <w:r>
        <w:rPr>
          <w:sz w:val="28"/>
        </w:rPr>
        <w:t>;</w:t>
      </w:r>
    </w:p>
    <w:p w14:paraId="8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информации о ходе предоставления Услуги, в том числе посредством Единого портала</w:t>
      </w:r>
      <w:r>
        <w:rPr>
          <w:sz w:val="28"/>
        </w:rPr>
        <w:t>;</w:t>
      </w:r>
    </w:p>
    <w:p w14:paraId="8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полнота, актуальность и доступность информации о порядке предоставления Услуги</w:t>
      </w:r>
      <w:r>
        <w:rPr>
          <w:sz w:val="28"/>
        </w:rPr>
        <w:t>;</w:t>
      </w:r>
    </w:p>
    <w:p w14:paraId="8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степень информированности заявителей о порядке предоставления Услуги (доступность информации об Услуге, возможность выбора способа получения информации)</w:t>
      </w:r>
      <w:r>
        <w:rPr>
          <w:sz w:val="28"/>
        </w:rPr>
        <w:t>;</w:t>
      </w:r>
    </w:p>
    <w:p w14:paraId="8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поддержание обратной связи с заявителем</w:t>
      </w:r>
      <w:r>
        <w:rPr>
          <w:sz w:val="28"/>
        </w:rPr>
        <w:t>;</w:t>
      </w:r>
    </w:p>
    <w:p w14:paraId="8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обоснованных жалоб со стороны заявителей, кандидатов в помощники и доверенных лиц по результатам предоставления Услуги</w:t>
      </w:r>
      <w:r>
        <w:rPr>
          <w:sz w:val="28"/>
        </w:rPr>
        <w:t>;</w:t>
      </w:r>
    </w:p>
    <w:p w14:paraId="8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удовлетворенность заявителей качеством оказания Услуги</w:t>
      </w:r>
      <w:r>
        <w:rPr>
          <w:sz w:val="28"/>
        </w:rPr>
        <w:t>.</w:t>
      </w:r>
    </w:p>
    <w:p w14:paraId="90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91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92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93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9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95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выплатой усыновителю денежных средств на содержание усыновленного ребенка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</w:t>
      </w:r>
      <w:r>
        <w:rPr>
          <w:sz w:val="28"/>
        </w:rPr>
        <w:t>вариантом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гражданин Российсской Федерации, являющийся  усыновителем ребенка, не достигшего возраста 18 лет (за исключением если усыновителем является отчим или мачеха ребенка), проживащий совместно с усыновленным (удочеренным) ребенком на территории Камчатского кграя</w:t>
      </w:r>
      <w:r>
        <w:rPr>
          <w:sz w:val="28"/>
        </w:rPr>
        <w:t xml:space="preserve">, </w:t>
      </w:r>
      <w:r>
        <w:rPr>
          <w:sz w:val="28"/>
        </w:rPr>
        <w:t>уполномоченный представитель по доверенности</w:t>
      </w:r>
      <w:r>
        <w:rPr>
          <w:sz w:val="28"/>
        </w:rPr>
        <w:t>.</w:t>
      </w:r>
    </w:p>
    <w:p w14:paraId="96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опечаток и (или) ошибок, допущенных в результате предоставления Услуги,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</w:t>
      </w:r>
      <w:r>
        <w:rPr>
          <w:sz w:val="28"/>
        </w:rPr>
        <w:t>вариантом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гражданин Российсской Федерации, являющийся  усыновителем ребенка, не достигшего возраста 18 лет (за исключением если усыновителем является отчим или мачеха ребенка), проживащий совместно с усыновленным (удочеренным) ребенком на территории Камчатского кграя</w:t>
      </w:r>
      <w:r>
        <w:rPr>
          <w:sz w:val="28"/>
        </w:rPr>
        <w:t xml:space="preserve">, </w:t>
      </w:r>
      <w:r>
        <w:rPr>
          <w:sz w:val="28"/>
        </w:rPr>
        <w:t>уполномоченный представитель по доверенности</w:t>
      </w:r>
      <w:r>
        <w:rPr>
          <w:sz w:val="28"/>
        </w:rPr>
        <w:t>.</w:t>
      </w:r>
    </w:p>
    <w:p w14:paraId="97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без рассмотрения не предусмотрена.</w:t>
      </w:r>
      <w:r>
        <w:rPr>
          <w:sz w:val="28"/>
        </w:rPr>
        <w:t xml:space="preserve"> </w:t>
      </w:r>
    </w:p>
    <w:p w14:paraId="9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99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анкетирования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9A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9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>;</w:t>
      </w:r>
    </w:p>
    <w:p w14:paraId="9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 в орган опеки и попечительства</w:t>
      </w:r>
      <w:r>
        <w:rPr>
          <w:sz w:val="28"/>
        </w:rPr>
        <w:t>;</w:t>
      </w:r>
    </w:p>
    <w:p w14:paraId="9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>.</w:t>
      </w:r>
    </w:p>
    <w:p w14:paraId="9E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9F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A0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100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A2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3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 xml:space="preserve">9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со дня регистрации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решение о назначении/отказе в назначении денежной выплаты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A5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6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является акт органа местного самоуправления, осуществляющего переданные полномочия по опеке и попечительству в Камчатском крае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дата принятия решения, регистрационный номер, наименование органа, выдавшего решение, ФИО подписанта.</w:t>
      </w:r>
    </w:p>
    <w:p w14:paraId="A7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не предоставлены</w:t>
      </w:r>
      <w:r>
        <w:rPr>
          <w:sz w:val="28"/>
        </w:rPr>
        <w:t>.</w:t>
      </w:r>
    </w:p>
    <w:p w14:paraId="A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AD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, </w:t>
      </w:r>
      <w:r>
        <w:rPr>
          <w:sz w:val="28"/>
        </w:rPr>
        <w:t>личное обращение в орган опеки и попечительства</w:t>
      </w:r>
      <w:r>
        <w:rPr>
          <w:sz w:val="28"/>
        </w:rPr>
        <w:t>.</w:t>
      </w:r>
    </w:p>
    <w:p w14:paraId="A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B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B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личное обращение в орган опеки и попечительства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 xml:space="preserve">с использованием федеральной государственной </w:t>
      </w:r>
      <w:r>
        <w:rPr>
          <w:sz w:val="28"/>
        </w:rPr>
        <w:t>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>)</w:t>
      </w:r>
      <w:r>
        <w:rPr>
          <w:sz w:val="28"/>
        </w:rPr>
        <w:t>;</w:t>
      </w:r>
    </w:p>
    <w:p w14:paraId="B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личное обращение в орган опеки и попечительства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B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судебные акты</w:t>
      </w:r>
      <w:r>
        <w:rPr>
          <w:sz w:val="28"/>
        </w:rPr>
        <w:t>,</w:t>
      </w:r>
      <w:r>
        <w:rPr>
          <w:sz w:val="28"/>
        </w:rPr>
        <w:t xml:space="preserve"> – копия решения суда об усыновлении ребенка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личное обращение в орган опеки и попечительства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B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 в орган опеки и попечительства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B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B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не установлена</w:t>
      </w:r>
      <w:r>
        <w:rPr>
          <w:sz w:val="28"/>
        </w:rPr>
        <w:t>;</w:t>
      </w:r>
    </w:p>
    <w:p w14:paraId="B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соответствует требованиям законодательства Российской Федерации</w:t>
      </w:r>
      <w:r>
        <w:rPr>
          <w:sz w:val="28"/>
        </w:rPr>
        <w:t>;</w:t>
      </w:r>
    </w:p>
    <w:p w14:paraId="B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>
        <w:rPr>
          <w:sz w:val="28"/>
        </w:rPr>
        <w:t>.</w:t>
      </w:r>
    </w:p>
    <w:p w14:paraId="B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 xml:space="preserve">заявления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B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Услуги:</w:t>
      </w:r>
      <w:r>
        <w:rPr>
          <w:sz w:val="28"/>
        </w:rPr>
        <w:t>.</w:t>
      </w:r>
    </w:p>
    <w:p w14:paraId="BF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 xml:space="preserve">Органом местного самоуправления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предоставлены</w:t>
      </w:r>
      <w:r>
        <w:rPr>
          <w:sz w:val="28"/>
        </w:rPr>
        <w:t>.</w:t>
      </w:r>
    </w:p>
    <w:p w14:paraId="C100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критерия.</w:t>
      </w:r>
    </w:p>
    <w:p w14:paraId="C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рабочего дня</w:t>
      </w:r>
      <w:r>
        <w:rPr>
          <w:sz w:val="28"/>
        </w:rPr>
        <w:t xml:space="preserve"> 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всех сведений,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C3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личный кабинет на Едином портале</w:t>
      </w:r>
      <w:r>
        <w:rPr>
          <w:sz w:val="28"/>
        </w:rPr>
        <w:t xml:space="preserve">, </w:t>
      </w:r>
      <w:r>
        <w:rPr>
          <w:sz w:val="28"/>
        </w:rPr>
        <w:t>личное обращение в орган опеки и попечительства</w:t>
      </w:r>
      <w:r>
        <w:rPr>
          <w:sz w:val="28"/>
        </w:rPr>
        <w:t>.</w:t>
      </w:r>
    </w:p>
    <w:p w14:paraId="C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C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7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800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C9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A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 xml:space="preserve">9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со дня регистрации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C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C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исправлении ошибки (ошибок)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D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исправлении ошибки (ошибок)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CE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F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является акт органа местного самоуправления, осуществляющего переданные полномочия по опеке и попечительству в Камчатском крае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дата принятия решения, регистрационный номер, наименование органа, выдавшего решение, ФИО подписанта, наименование органа, выдавшего документ.</w:t>
      </w:r>
    </w:p>
    <w:p w14:paraId="D0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D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D6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, </w:t>
      </w:r>
      <w:r>
        <w:rPr>
          <w:sz w:val="28"/>
        </w:rPr>
        <w:t>личное обращение в орган опеки и попечительства</w:t>
      </w:r>
      <w:r>
        <w:rPr>
          <w:sz w:val="28"/>
        </w:rPr>
        <w:t>.</w:t>
      </w:r>
    </w:p>
    <w:p w14:paraId="D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D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 в орган опеки и попечительства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D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при наличии</w:t>
      </w:r>
      <w:r>
        <w:rPr>
          <w:sz w:val="28"/>
        </w:rPr>
        <w:t xml:space="preserve"> 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 выданных в результате предоставления государственной услуги документах не содержатся опечатки и ошибки</w:t>
      </w:r>
      <w:r>
        <w:rPr>
          <w:sz w:val="28"/>
        </w:rPr>
        <w:t>.</w:t>
      </w:r>
    </w:p>
    <w:p w14:paraId="D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E1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E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рабочего дня</w:t>
      </w:r>
      <w:r>
        <w:rPr>
          <w:sz w:val="28"/>
        </w:rPr>
        <w:t xml:space="preserve"> 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E4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личный кабинет на Едином портале</w:t>
      </w:r>
      <w:r>
        <w:rPr>
          <w:sz w:val="28"/>
        </w:rPr>
        <w:t xml:space="preserve">, </w:t>
      </w:r>
      <w:r>
        <w:rPr>
          <w:sz w:val="28"/>
        </w:rPr>
        <w:t>личное обращение в орган опеки и попечительства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исправлении ошибки (ошибок)</w:t>
      </w:r>
      <w:r>
        <w:rPr>
          <w:sz w:val="28"/>
        </w:rPr>
        <w:t>;</w:t>
      </w:r>
    </w:p>
    <w:p w14:paraId="E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личный кабинет на Едином портале</w:t>
      </w:r>
      <w:r>
        <w:rPr>
          <w:sz w:val="28"/>
        </w:rPr>
        <w:t xml:space="preserve">, </w:t>
      </w:r>
      <w:r>
        <w:rPr>
          <w:sz w:val="28"/>
        </w:rPr>
        <w:t>личное обращение в орган опеки и попечительства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исправлении ошибки (ошибок)</w:t>
      </w:r>
      <w:r>
        <w:rPr>
          <w:sz w:val="28"/>
        </w:rPr>
        <w:t>.</w:t>
      </w:r>
    </w:p>
    <w:p w14:paraId="E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E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A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E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E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 xml:space="preserve">Органа местного самоуправления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должностными лицами, ответственными за организацию работы по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должностными лицами Органа власти, уполномоченными на осуществление контроля за предоставлением Услуги</w:t>
      </w:r>
      <w:r>
        <w:rPr>
          <w:sz w:val="28"/>
        </w:rPr>
        <w:t xml:space="preserve">, </w:t>
      </w:r>
      <w:r>
        <w:rPr>
          <w:sz w:val="28"/>
        </w:rPr>
        <w:t>руководителем Органа власти или заместителем руководителя Органа власти, курирующим вопросы предоставления Услуги</w:t>
      </w:r>
      <w:r>
        <w:rPr>
          <w:sz w:val="28"/>
        </w:rPr>
        <w:t>.</w:t>
      </w:r>
    </w:p>
    <w:p w14:paraId="E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проверок.</w:t>
      </w:r>
      <w:r>
        <w:rPr>
          <w:sz w:val="28"/>
        </w:rPr>
        <w:t xml:space="preserve"> </w:t>
      </w:r>
    </w:p>
    <w:p w14:paraId="E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E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Плановые проверки проводятся на основе 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F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sz w:val="28"/>
        </w:rPr>
        <w:t>Орган</w:t>
      </w:r>
      <w:r>
        <w:rPr>
          <w:sz w:val="28"/>
        </w:rPr>
        <w:t>а</w:t>
      </w:r>
      <w:r>
        <w:rPr>
          <w:sz w:val="28"/>
        </w:rPr>
        <w:t xml:space="preserve"> местного самоуправления</w:t>
      </w:r>
      <w:r>
        <w:rPr>
          <w:sz w:val="28"/>
        </w:rPr>
        <w:t>.</w:t>
      </w:r>
    </w:p>
    <w:p w14:paraId="F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F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F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F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F5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F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на официальном сайте Органа местного самоуправления</w:t>
      </w:r>
      <w:r>
        <w:rPr>
          <w:sz w:val="28"/>
        </w:rPr>
        <w:t xml:space="preserve">, </w:t>
      </w:r>
      <w:r>
        <w:rPr>
          <w:sz w:val="28"/>
        </w:rPr>
        <w:t>на информационных стендах в местах предоставления Услуги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устной форме при личном обращении</w:t>
      </w:r>
      <w:r>
        <w:rPr>
          <w:sz w:val="28"/>
        </w:rPr>
        <w:t xml:space="preserve">, </w:t>
      </w:r>
      <w:r>
        <w:rPr>
          <w:sz w:val="28"/>
        </w:rPr>
        <w:t>в письменной форме почтовым отправлением по адресу, указанному заявителем (представителем)</w:t>
      </w:r>
      <w:r>
        <w:rPr>
          <w:sz w:val="28"/>
        </w:rPr>
        <w:t>.</w:t>
      </w:r>
    </w:p>
    <w:p w14:paraId="F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по электронной почте</w:t>
      </w:r>
      <w:r>
        <w:rPr>
          <w:sz w:val="28"/>
        </w:rPr>
        <w:t xml:space="preserve">, </w:t>
      </w:r>
      <w:r>
        <w:rPr>
          <w:sz w:val="28"/>
        </w:rPr>
        <w:t>в форме электронного документа, подписанного УЭП, посредством сети "Интернет", в том числе с использованием единой системы идентификации и аутентификации</w:t>
      </w:r>
      <w:r>
        <w:rPr>
          <w:sz w:val="28"/>
        </w:rPr>
        <w:t>.</w:t>
      </w:r>
      <w:r>
        <w:t xml:space="preserve"> </w:t>
      </w:r>
    </w:p>
    <w:p w14:paraId="F8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при личном приеме заявителя</w:t>
      </w:r>
      <w:r>
        <w:rPr>
          <w:sz w:val="28"/>
        </w:rPr>
        <w:t>.</w:t>
      </w:r>
    </w:p>
    <w:p w14:paraId="F900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FA00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FB00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от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FC000000">
      <w:pPr>
        <w:ind/>
        <w:jc w:val="both"/>
        <w:rPr>
          <w:b w:val="1"/>
          <w:sz w:val="28"/>
        </w:rPr>
      </w:pPr>
    </w:p>
    <w:p w14:paraId="FD00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FE00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FF00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0001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0101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Выплата усыновителю денежных средств на содержание усыновленного ребенка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20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3010000">
            <w:pPr>
              <w:keepNext w:val="1"/>
              <w:spacing w:after="160"/>
              <w:ind/>
            </w:pPr>
            <w:r>
              <w:t>Гражданин Российсской Федерации, являющийся  усыновителем ребенка, не достигшего возраста 18 лет (за исключением если усыновителем является отчим или мачеха ребенка), проживащий совместно с усыновленным (удочеренным) ребенком на территории Камчатского кграя</w:t>
            </w:r>
            <w:r>
              <w:t>, уполномоченный представитель по доверенности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0401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опечаток и (или) ошибок, допущенных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50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6010000">
            <w:pPr>
              <w:keepNext w:val="1"/>
              <w:spacing w:after="160"/>
              <w:ind/>
            </w:pPr>
            <w:r>
              <w:t>Гражданин Российсской Федерации, являющийся  усыновителем ребенка, не достигшего возраста 18 лет (за исключением если усыновителем является отчим или мачеха ребенка), проживащий совместно с усыновленным (удочеренным) ребенком на территории Камчатского кграя</w:t>
            </w:r>
            <w:r>
              <w:t>, уполномоченный представитель по доверенности</w:t>
            </w:r>
          </w:p>
        </w:tc>
      </w:tr>
    </w:tbl>
    <w:p w14:paraId="07010000">
      <w:pPr>
        <w:ind w:firstLine="709" w:left="0"/>
        <w:jc w:val="both"/>
        <w:rPr>
          <w:sz w:val="28"/>
        </w:rPr>
      </w:pPr>
    </w:p>
    <w:p w14:paraId="08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Выплата усыновителю денежных средств на содержание усыновленного ребенка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/>
          <w:p w14:paraId="10010000">
            <w:r>
              <w:t>1</w:t>
            </w:r>
            <w:r>
              <w:t xml:space="preserve">. </w:t>
            </w:r>
            <w:r>
              <w:t>Гражданин Российсской Федерации, являющийся  усыновителем ребенка, не достигшего возраста 18 лет (за исключением если усыновителем является отчим или мачеха ребенка), проживащий совместно с усыновленным (удочеренным) ребенком на территории Камчатского кграя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/>
          <w:p w14:paraId="14010000">
            <w:r>
              <w:t>1</w:t>
            </w:r>
            <w:r>
              <w:t xml:space="preserve">. </w:t>
            </w:r>
            <w:r>
              <w:t>Уполномоченный представитель по доверенности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опечаток и (или) ошибок, допущенных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/>
          <w:p w14:paraId="19010000">
            <w:r>
              <w:t>1</w:t>
            </w:r>
            <w:r>
              <w:t xml:space="preserve">. </w:t>
            </w:r>
            <w:r>
              <w:t>Гражданин Российсской Федерации, являющийся  усыновителем ребенка, не достигшего возраста 18 лет (за исключением если усыновителем является отчим или мачеха ребенка), проживащий совместно с усыновленным (удочеренным) ребенком на территории Камчатского кграя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/>
          <w:p w14:paraId="1D010000">
            <w:r>
              <w:t>1</w:t>
            </w:r>
            <w:r>
              <w:t xml:space="preserve">. </w:t>
            </w:r>
            <w:r>
              <w:t>Уполномоченный представитель по доверенности</w:t>
            </w:r>
          </w:p>
        </w:tc>
      </w:tr>
    </w:tbl>
    <w:p w14:paraId="1E01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1F01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2001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>дминистративному регламенту, утвержденному 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2101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2201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</w:t>
      </w:r>
    </w:p>
    <w:p w14:paraId="23010000">
      <w:r>
        <w:rPr>
          <w:sz w:val="24"/>
        </w:rPr>
        <w:t xml:space="preserve"> </w:t>
      </w:r>
    </w:p>
    <w:p w14:paraId="2401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2501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органами местного самоуправления муниципальных образований в Камчатском крае, осуществляющими переданные полномочия Камчатского края, государственной услуги по назначению и выплате единовременной денежной выплаты гражданам, усыновившим (удочерившим) ребенка (детей) в Камчатском крае</w:t>
      </w:r>
      <w:r>
        <w:rPr>
          <w:sz w:val="24"/>
        </w:rPr>
        <w:t>»</w:t>
      </w:r>
    </w:p>
    <w:p w14:paraId="26010000">
      <w:pPr>
        <w:spacing w:line="360" w:lineRule="exact"/>
        <w:ind/>
        <w:rPr>
          <w:sz w:val="24"/>
        </w:rPr>
      </w:pPr>
    </w:p>
    <w:p w14:paraId="27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услугу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8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Я, 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29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проживающий(ая) в Российской Федерации</w:t>
      </w:r>
      <w:r>
        <w:rPr>
          <w:sz w:val="24"/>
        </w:rPr>
        <w:t xml:space="preserve">: ; </w:t>
      </w:r>
    </w:p>
    <w:p w14:paraId="2A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2B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 гражданина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2C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2D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2E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серия, 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2F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0010000">
      <w:pPr>
        <w:spacing w:line="360" w:lineRule="exact"/>
        <w:ind/>
        <w:rPr>
          <w:sz w:val="24"/>
        </w:rPr>
      </w:pPr>
    </w:p>
    <w:p w14:paraId="31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решения суда об усыновлении ребенка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2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документа</w:t>
      </w:r>
      <w:r>
        <w:rPr>
          <w:sz w:val="24"/>
        </w:rPr>
        <w:t xml:space="preserve">: __.__________.____ </w:t>
      </w:r>
      <w:r>
        <w:rPr>
          <w:sz w:val="24"/>
        </w:rPr>
        <w:t>г</w:t>
      </w:r>
      <w:r>
        <w:rPr>
          <w:sz w:val="24"/>
        </w:rPr>
        <w:t xml:space="preserve">.; </w:t>
      </w:r>
    </w:p>
    <w:p w14:paraId="33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3401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3501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</w:t>
      </w:r>
    </w:p>
    <w:p w14:paraId="36010000">
      <w:r>
        <w:rPr>
          <w:sz w:val="24"/>
        </w:rPr>
        <w:t xml:space="preserve"> </w:t>
      </w:r>
    </w:p>
    <w:p w14:paraId="3701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3801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органами местного самоуправления муниципальных образований в Камчатском крае, осуществляющими переданные полномочия Камчатского края, государственной услуги по назначению и выплате единовременной денежной выплаты гражданам, усыновившим (удочерившим) ребенка (детей) в Камчатском крае</w:t>
      </w:r>
      <w:r>
        <w:rPr>
          <w:sz w:val="24"/>
        </w:rPr>
        <w:t>»</w:t>
      </w:r>
    </w:p>
    <w:p w14:paraId="39010000">
      <w:pPr>
        <w:spacing w:line="360" w:lineRule="exact"/>
        <w:ind/>
        <w:rPr>
          <w:sz w:val="24"/>
        </w:rPr>
      </w:pPr>
    </w:p>
    <w:p w14:paraId="3A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допущенных опечатках и (или) ошибках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B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опечаток и (или)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3C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совершения опечаток и (или)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3D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органа власти, предоставившего Услугу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3E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документа</w:t>
      </w:r>
      <w:r>
        <w:rPr>
          <w:sz w:val="24"/>
        </w:rPr>
        <w:t xml:space="preserve">: __.__________.____ </w:t>
      </w:r>
      <w:r>
        <w:rPr>
          <w:sz w:val="24"/>
        </w:rPr>
        <w:t>г</w:t>
      </w:r>
      <w:r>
        <w:rPr>
          <w:sz w:val="24"/>
        </w:rPr>
        <w:t xml:space="preserve">.; </w:t>
      </w:r>
    </w:p>
    <w:p w14:paraId="3F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40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регистрационный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1010000">
      <w:pPr>
        <w:spacing w:line="360" w:lineRule="exact"/>
        <w:ind/>
        <w:rPr>
          <w:sz w:val="24"/>
        </w:rPr>
      </w:pPr>
    </w:p>
    <w:p w14:paraId="42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документы, выданные в результате предоставления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3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44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45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__.__________.____ </w:t>
      </w:r>
      <w:r>
        <w:rPr>
          <w:sz w:val="24"/>
        </w:rPr>
        <w:t>г</w:t>
      </w:r>
      <w:r>
        <w:rPr>
          <w:sz w:val="24"/>
        </w:rPr>
        <w:t xml:space="preserve">.; </w:t>
      </w:r>
    </w:p>
    <w:p w14:paraId="46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47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48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атрибут документа, подлежащий изменению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sectPr>
      <w:headerReference r:id="rId4" w:type="first"/>
      <w:headerReference r:id="rId2" w:type="defaul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49010000">
      <w:pPr>
        <w:pStyle w:val="Style_23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4A010000">
      <w:pPr>
        <w:pStyle w:val="Style_23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annotation reference"/>
    <w:link w:val="Style_10_ch"/>
    <w:rPr>
      <w:sz w:val="16"/>
    </w:rPr>
  </w:style>
  <w:style w:styleId="Style_10_ch" w:type="character">
    <w:name w:val="annotation reference"/>
    <w:link w:val="Style_10"/>
    <w:rPr>
      <w:sz w:val="16"/>
    </w:rPr>
  </w:style>
  <w:style w:styleId="Style_11" w:type="paragraph">
    <w:name w:val="annotation text"/>
    <w:basedOn w:val="Style_9"/>
    <w:link w:val="Style_11_ch"/>
  </w:style>
  <w:style w:styleId="Style_11_ch" w:type="character">
    <w:name w:val="annotation text"/>
    <w:basedOn w:val="Style_9_ch"/>
    <w:link w:val="Style_11"/>
  </w:style>
  <w:style w:styleId="Style_12" w:type="paragraph">
    <w:name w:val="toc 2"/>
    <w:next w:val="Style_9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basedOn w:val="Style_9"/>
    <w:link w:val="Style_16_ch"/>
  </w:style>
  <w:style w:styleId="Style_16_ch" w:type="character">
    <w:name w:val="Endnote"/>
    <w:basedOn w:val="Style_9_ch"/>
    <w:link w:val="Style_16"/>
  </w:style>
  <w:style w:styleId="Style_17" w:type="paragraph">
    <w:name w:val="heading 3"/>
    <w:link w:val="Style_17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7_ch" w:type="character">
    <w:name w:val="heading 3"/>
    <w:link w:val="Style_17"/>
    <w:rPr>
      <w:rFonts w:asciiTheme="majorAscii" w:hAnsiTheme="majorHAnsi"/>
      <w:b w:val="1"/>
      <w:color w:themeColor="accent1" w:val="5B9BD5"/>
    </w:rPr>
  </w:style>
  <w:style w:styleId="Style_3" w:type="paragraph">
    <w:name w:val="footnote reference"/>
    <w:basedOn w:val="Style_18"/>
    <w:link w:val="Style_3_ch"/>
    <w:rPr>
      <w:vertAlign w:val="superscript"/>
    </w:rPr>
  </w:style>
  <w:style w:styleId="Style_3_ch" w:type="character">
    <w:name w:val="footnote reference"/>
    <w:basedOn w:val="Style_18_ch"/>
    <w:link w:val="Style_3"/>
    <w:rPr>
      <w:vertAlign w:val="superscript"/>
    </w:rPr>
  </w:style>
  <w:style w:styleId="Style_19" w:type="paragraph">
    <w:name w:val="toc 3"/>
    <w:next w:val="Style_9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link w:val="Style_20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0_ch" w:type="character">
    <w:name w:val="heading 5"/>
    <w:link w:val="Style_20"/>
    <w:rPr>
      <w:rFonts w:asciiTheme="majorAscii" w:hAnsiTheme="majorHAnsi"/>
      <w:color w:themeColor="accent1" w:themeShade="7F" w:val="1F4E79"/>
    </w:rPr>
  </w:style>
  <w:style w:styleId="Style_21" w:type="paragraph">
    <w:name w:val="heading 1"/>
    <w:link w:val="Style_21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1_ch" w:type="character">
    <w:name w:val="heading 1"/>
    <w:link w:val="Style_21"/>
    <w:rPr>
      <w:rFonts w:asciiTheme="majorAscii" w:hAnsiTheme="majorHAnsi"/>
      <w:b w:val="1"/>
      <w:color w:themeColor="accent1" w:themeShade="BF" w:val="2E75B5"/>
      <w:sz w:val="28"/>
    </w:rPr>
  </w:style>
  <w:style w:styleId="Style_22" w:type="paragraph">
    <w:name w:val="Hyperlink"/>
    <w:link w:val="Style_22_ch"/>
    <w:rPr>
      <w:color w:themeColor="hyperlink" w:val="0563C1"/>
      <w:u w:val="single"/>
    </w:rPr>
  </w:style>
  <w:style w:styleId="Style_22_ch" w:type="character">
    <w:name w:val="Hyperlink"/>
    <w:link w:val="Style_22"/>
    <w:rPr>
      <w:color w:themeColor="hyperlink" w:val="0563C1"/>
      <w:u w:val="single"/>
    </w:rPr>
  </w:style>
  <w:style w:styleId="Style_23" w:type="paragraph">
    <w:name w:val="Footnote"/>
    <w:basedOn w:val="Style_9"/>
    <w:link w:val="Style_23_ch"/>
  </w:style>
  <w:style w:styleId="Style_23_ch" w:type="character">
    <w:name w:val="Footnote"/>
    <w:basedOn w:val="Style_9_ch"/>
    <w:link w:val="Style_23"/>
  </w:style>
  <w:style w:styleId="Style_24" w:type="paragraph">
    <w:name w:val="toc 1"/>
    <w:next w:val="Style_9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6" w:type="paragraph">
    <w:name w:val="toc 9"/>
    <w:next w:val="Style_9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27" w:type="paragraph">
    <w:name w:val="toc 8"/>
    <w:next w:val="Style_9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Body Text"/>
    <w:basedOn w:val="Style_9"/>
    <w:link w:val="Style_28_ch"/>
    <w:pPr>
      <w:widowControl w:val="0"/>
      <w:ind/>
    </w:pPr>
    <w:rPr>
      <w:sz w:val="24"/>
    </w:rPr>
  </w:style>
  <w:style w:styleId="Style_28_ch" w:type="character">
    <w:name w:val="Body Text"/>
    <w:basedOn w:val="Style_9_ch"/>
    <w:link w:val="Style_28"/>
    <w:rPr>
      <w:sz w:val="24"/>
    </w:rPr>
  </w:style>
  <w:style w:styleId="Style_29" w:type="paragraph">
    <w:name w:val="Balloon Text"/>
    <w:basedOn w:val="Style_9"/>
    <w:link w:val="Style_29_ch"/>
    <w:rPr>
      <w:rFonts w:ascii="Segoe UI" w:hAnsi="Segoe UI"/>
      <w:sz w:val="18"/>
    </w:rPr>
  </w:style>
  <w:style w:styleId="Style_29_ch" w:type="character">
    <w:name w:val="Balloon Text"/>
    <w:basedOn w:val="Style_9_ch"/>
    <w:link w:val="Style_29"/>
    <w:rPr>
      <w:rFonts w:ascii="Segoe UI" w:hAnsi="Segoe UI"/>
      <w:sz w:val="18"/>
    </w:rPr>
  </w:style>
  <w:style w:styleId="Style_30" w:type="paragraph">
    <w:name w:val="toc 5"/>
    <w:next w:val="Style_9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9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9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33" w:type="paragraph">
    <w:name w:val="endnote reference"/>
    <w:basedOn w:val="Style_18"/>
    <w:link w:val="Style_33_ch"/>
    <w:rPr>
      <w:vertAlign w:val="superscript"/>
    </w:rPr>
  </w:style>
  <w:style w:styleId="Style_33_ch" w:type="character">
    <w:name w:val="endnote reference"/>
    <w:basedOn w:val="Style_18_ch"/>
    <w:link w:val="Style_33"/>
    <w:rPr>
      <w:vertAlign w:val="superscript"/>
    </w:rPr>
  </w:style>
  <w:style w:styleId="Style_34" w:type="paragraph">
    <w:name w:val="heading 4"/>
    <w:link w:val="Style_34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4_ch" w:type="character">
    <w:name w:val="heading 4"/>
    <w:link w:val="Style_34"/>
    <w:rPr>
      <w:rFonts w:asciiTheme="majorAscii" w:hAnsiTheme="majorHAnsi"/>
      <w:b w:val="1"/>
      <w:i w:val="1"/>
      <w:color w:themeColor="accent1" w:val="5B9BD5"/>
    </w:rPr>
  </w:style>
  <w:style w:styleId="Style_35" w:type="paragraph">
    <w:name w:val="heading 2"/>
    <w:link w:val="Style_35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5_ch" w:type="character">
    <w:name w:val="heading 2"/>
    <w:link w:val="Style_35"/>
    <w:rPr>
      <w:rFonts w:asciiTheme="majorAscii" w:hAnsiTheme="majorHAnsi"/>
      <w:b w:val="1"/>
      <w:color w:themeColor="accent1" w:val="5B9BD5"/>
      <w:sz w:val="26"/>
    </w:rPr>
  </w:style>
  <w:style w:styleId="Style_36" w:type="paragraph">
    <w:name w:val="footer"/>
    <w:basedOn w:val="Style_9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footer"/>
    <w:basedOn w:val="Style_9_ch"/>
    <w:link w:val="Style_36"/>
  </w:style>
  <w:style w:styleId="Style_37" w:type="paragraph">
    <w:name w:val="annotation subject"/>
    <w:basedOn w:val="Style_11"/>
    <w:next w:val="Style_11"/>
    <w:link w:val="Style_37_ch"/>
    <w:rPr>
      <w:b w:val="1"/>
    </w:rPr>
  </w:style>
  <w:style w:styleId="Style_37_ch" w:type="character">
    <w:name w:val="annotation subject"/>
    <w:basedOn w:val="Style_11_ch"/>
    <w:link w:val="Style_37"/>
    <w:rPr>
      <w:b w:val="1"/>
    </w:rPr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endnotes.xml" Type="http://schemas.openxmlformats.org/officeDocument/2006/relationships/endnotes"/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14" Target="numbering.xml" Type="http://schemas.openxmlformats.org/officeDocument/2006/relationships/numbering"/>
  <Relationship Id="rId6" Target="fontTable.xml" Type="http://schemas.openxmlformats.org/officeDocument/2006/relationships/fontTable"/>
  <Relationship Id="rId5" Target="media/1.png" Type="http://schemas.openxmlformats.org/officeDocument/2006/relationships/image"/>
  <Relationship Id="rId4" Target="header4.xml" Type="http://schemas.openxmlformats.org/officeDocument/2006/relationships/header"/>
  <Relationship Id="rId12" Target="footnotes.xml" Type="http://schemas.openxmlformats.org/officeDocument/2006/relationships/footnote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2023-10-08T22:44:17Z</dcterms:modified>
</cp:coreProperties>
</file>