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4" y="0"/>
                <wp:lineTo x="-14" y="20874"/>
                <wp:lineTo x="20954" y="20874"/>
                <wp:lineTo x="20954" y="0"/>
                <wp:lineTo x="-14"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
    </w:p>
    <w:tbl>
      <w:tblPr>
        <w:tblW w:w="5000" w:type="pct"/>
        <w:jc w:val="left"/>
        <w:tblInd w:w="0" w:type="dxa"/>
        <w:tblLayout w:type="fixed"/>
        <w:tblCellMar>
          <w:top w:w="55" w:type="dxa"/>
          <w:left w:w="55" w:type="dxa"/>
          <w:bottom w:w="55" w:type="dxa"/>
          <w:right w:w="55" w:type="dxa"/>
        </w:tblCellMar>
      </w:tblPr>
      <w:tblGrid>
        <w:gridCol w:w="4961"/>
        <w:gridCol w:w="4961"/>
      </w:tblGrid>
      <w:tr>
        <w:trPr/>
        <w:tc>
          <w:tcPr>
            <w:tcW w:w="4961" w:type="dxa"/>
            <w:tcBorders/>
          </w:tcPr>
          <w:p>
            <w:pPr>
              <w:pStyle w:val="Normal"/>
              <w:spacing w:lineRule="auto" w:line="240" w:before="0" w:after="0"/>
              <w:jc w:val="center"/>
              <w:rPr>
                <w:rFonts w:ascii="Times New Roman" w:hAnsi="Times New Roman"/>
                <w:b/>
                <w:sz w:val="28"/>
              </w:rPr>
            </w:pPr>
            <w:r>
              <w:rPr>
                <w:rFonts w:ascii="Times New Roman" w:hAnsi="Times New Roman"/>
                <w:b/>
                <w:sz w:val="28"/>
              </w:rPr>
              <w:t>МИНИСТЕРСТВО</w:t>
            </w:r>
          </w:p>
          <w:p>
            <w:pPr>
              <w:pStyle w:val="Normal"/>
              <w:spacing w:lineRule="auto" w:line="240" w:before="0" w:after="0"/>
              <w:jc w:val="center"/>
              <w:rPr>
                <w:rFonts w:ascii="Times New Roman" w:hAnsi="Times New Roman"/>
                <w:b/>
                <w:sz w:val="28"/>
              </w:rPr>
            </w:pPr>
            <w:r>
              <w:rPr>
                <w:rFonts w:ascii="Times New Roman" w:hAnsi="Times New Roman"/>
                <w:b/>
                <w:sz w:val="28"/>
              </w:rPr>
              <w:t xml:space="preserve">СОЦИАЛЬНОГО БЛАГОПОЛУЧИЯ </w:t>
            </w:r>
          </w:p>
          <w:p>
            <w:pPr>
              <w:pStyle w:val="Normal"/>
              <w:spacing w:lineRule="auto" w:line="240" w:before="0" w:after="0"/>
              <w:jc w:val="center"/>
              <w:rPr>
                <w:rFonts w:ascii="Times New Roman" w:hAnsi="Times New Roman"/>
                <w:b/>
                <w:sz w:val="28"/>
              </w:rPr>
            </w:pPr>
            <w:r>
              <w:rPr>
                <w:rFonts w:ascii="Times New Roman" w:hAnsi="Times New Roman"/>
                <w:b/>
                <w:sz w:val="28"/>
              </w:rPr>
              <w:t>И СЕМЕЙНОЙ ПОЛИТИКИ КАМЧАТСКОГО КРАЯ</w:t>
            </w:r>
          </w:p>
        </w:tc>
        <w:tc>
          <w:tcPr>
            <w:tcW w:w="4961" w:type="dxa"/>
            <w:tcBorders/>
          </w:tcPr>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ЗДРАВООХРАНЕНИЯ КАМЧАТСКОГО КРАЯ</w:t>
            </w:r>
          </w:p>
        </w:tc>
      </w:tr>
    </w:tbl>
    <w:p>
      <w:pPr>
        <w:pStyle w:val="Normal"/>
        <w:spacing w:lineRule="auto" w:line="240" w:before="0" w:after="0"/>
        <w:jc w:val="center"/>
        <w:rPr>
          <w:rFonts w:ascii="Times New Roman" w:hAnsi="Times New Roman"/>
          <w:b/>
          <w:sz w:val="28"/>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ind w:left="-284" w:right="5526" w:hanging="0"/>
        <w:jc w:val="center"/>
        <w:rPr>
          <w:rFonts w:ascii="Times New Roman" w:hAnsi="Times New Roman"/>
          <w:sz w:val="24"/>
        </w:rPr>
      </w:pPr>
      <w:r>
        <w:rPr>
          <w:rFonts w:ascii="Times New Roman" w:hAnsi="Times New Roman"/>
          <w:sz w:val="24"/>
        </w:rPr>
      </w:r>
    </w:p>
    <w:p>
      <w:pPr>
        <w:pStyle w:val="Normal"/>
        <w:spacing w:lineRule="auto" w:line="240" w:before="0" w:after="0"/>
        <w:ind w:left="-284" w:right="5526" w:hanging="0"/>
        <w:jc w:val="center"/>
        <w:rPr>
          <w:rFonts w:ascii="Times New Roman" w:hAnsi="Times New Roman"/>
          <w:sz w:val="24"/>
        </w:rPr>
      </w:pPr>
      <w:bookmarkStart w:id="0" w:name="REGNUMDATESTAMP"/>
      <w:r>
        <w:rPr>
          <w:rFonts w:ascii="Times New Roman" w:hAnsi="Times New Roman"/>
          <w:sz w:val="24"/>
          <w:u w:val="single"/>
        </w:rPr>
        <w:t>[</w:t>
      </w:r>
      <w:r>
        <w:rPr>
          <w:rFonts w:ascii="Times New Roman" w:hAnsi="Times New Roman"/>
          <w:u w:val="single"/>
        </w:rPr>
        <w:t>Дата регистрации] № [Номер документа]</w:t>
      </w:r>
      <w:bookmarkEnd w:id="0"/>
    </w:p>
    <w:p>
      <w:pPr>
        <w:pStyle w:val="Normal"/>
        <w:spacing w:lineRule="auto" w:line="240" w:before="0" w:after="0"/>
        <w:ind w:left="0" w:right="5526" w:hanging="0"/>
        <w:jc w:val="center"/>
        <w:rPr>
          <w:rFonts w:ascii="Times New Roman" w:hAnsi="Times New Roman"/>
          <w:sz w:val="28"/>
        </w:rPr>
      </w:pPr>
      <w:r>
        <w:rPr>
          <w:rFonts w:ascii="Times New Roman" w:hAnsi="Times New Roman"/>
          <w:sz w:val="24"/>
        </w:rPr>
        <w:t>г. Петропавловск-Камчатский</w:t>
      </w:r>
    </w:p>
    <w:p>
      <w:pPr>
        <w:pStyle w:val="Normal"/>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tbl>
      <w:tblPr>
        <w:tblStyle w:val="Style_2"/>
        <w:tblW w:w="9639" w:type="dxa"/>
        <w:jc w:val="left"/>
        <w:tblInd w:w="0" w:type="dxa"/>
        <w:tblLayout w:type="fixed"/>
        <w:tblCellMar>
          <w:top w:w="0" w:type="dxa"/>
          <w:left w:w="108" w:type="dxa"/>
          <w:bottom w:w="0" w:type="dxa"/>
          <w:right w:w="108" w:type="dxa"/>
        </w:tblCellMar>
      </w:tblPr>
      <w:tblGrid>
        <w:gridCol w:w="9639"/>
      </w:tblGrid>
      <w:tr>
        <w:trPr>
          <w:trHeight w:val="597" w:hRule="atLeast"/>
        </w:trPr>
        <w:tc>
          <w:tcPr>
            <w:tcW w:w="9639" w:type="dxa"/>
            <w:tcBorders/>
          </w:tcPr>
          <w:p>
            <w:pPr>
              <w:pStyle w:val="Normal"/>
              <w:widowControl/>
              <w:spacing w:lineRule="auto" w:line="240" w:before="0" w:after="0"/>
              <w:ind w:left="0" w:right="0" w:hanging="0"/>
              <w:contextualSpacing/>
              <w:jc w:val="center"/>
              <w:rPr>
                <w:color w:val="000000"/>
                <w:spacing w:val="0"/>
                <w:kern w:val="0"/>
                <w:sz w:val="28"/>
                <w:szCs w:val="28"/>
              </w:rPr>
            </w:pPr>
            <w:r>
              <w:rPr>
                <w:rFonts w:ascii="Times New Roman" w:hAnsi="Times New Roman"/>
                <w:b/>
                <w:color w:val="000000"/>
                <w:spacing w:val="0"/>
                <w:kern w:val="0"/>
                <w:sz w:val="28"/>
                <w:szCs w:val="28"/>
              </w:rPr>
              <w:t xml:space="preserve">Об утверждении </w:t>
            </w:r>
            <w:r>
              <w:rPr>
                <w:rFonts w:ascii="Times New Roman" w:hAnsi="Times New Roman"/>
                <w:b/>
                <w:color w:val="000000"/>
                <w:spacing w:val="0"/>
                <w:kern w:val="0"/>
                <w:sz w:val="28"/>
                <w:szCs w:val="28"/>
              </w:rPr>
              <w:t>р</w:t>
            </w:r>
            <w:r>
              <w:rPr>
                <w:rFonts w:ascii="Times New Roman" w:hAnsi="Times New Roman"/>
                <w:b/>
                <w:color w:val="000000"/>
                <w:spacing w:val="0"/>
                <w:kern w:val="0"/>
                <w:sz w:val="28"/>
                <w:szCs w:val="28"/>
              </w:rPr>
              <w:t>егламент</w:t>
            </w:r>
            <w:r>
              <w:rPr>
                <w:rFonts w:ascii="Times New Roman" w:hAnsi="Times New Roman"/>
                <w:b/>
                <w:color w:val="000000"/>
                <w:spacing w:val="0"/>
                <w:kern w:val="0"/>
                <w:sz w:val="28"/>
                <w:szCs w:val="28"/>
              </w:rPr>
              <w:t xml:space="preserve">а </w:t>
            </w:r>
            <w:r>
              <w:rPr>
                <w:rFonts w:ascii="Times New Roman" w:hAnsi="Times New Roman"/>
                <w:b/>
                <w:color w:val="000000"/>
                <w:spacing w:val="0"/>
                <w:kern w:val="0"/>
                <w:sz w:val="28"/>
                <w:szCs w:val="28"/>
              </w:rPr>
              <w:t xml:space="preserve">взаимодействия медицинских организаций, оказывающих медицинскую помощь по профилю «психиатрия-наркология», с организациями социального обслуживания, оказывающими услуги по социальной реабилитации больных наркоманией </w:t>
            </w:r>
          </w:p>
        </w:tc>
      </w:tr>
    </w:tbl>
    <w:p>
      <w:pPr>
        <w:pStyle w:val="Normal"/>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40" w:before="0" w:after="0"/>
        <w:ind w:left="0" w:right="0" w:firstLine="737"/>
        <w:contextualSpacing/>
        <w:jc w:val="both"/>
        <w:rPr>
          <w:sz w:val="28"/>
          <w:szCs w:val="28"/>
        </w:rPr>
      </w:pPr>
      <w:r>
        <w:rPr>
          <w:rFonts w:ascii="Times New Roman" w:hAnsi="Times New Roman"/>
          <w:sz w:val="28"/>
          <w:szCs w:val="28"/>
        </w:rPr>
        <w:t>В соответствии с Федеральным закон</w:t>
      </w:r>
      <w:r>
        <w:rPr>
          <w:rFonts w:ascii="Times New Roman" w:hAnsi="Times New Roman"/>
          <w:sz w:val="28"/>
          <w:szCs w:val="28"/>
        </w:rPr>
        <w:t>ом</w:t>
      </w:r>
      <w:r>
        <w:rPr>
          <w:rFonts w:ascii="Times New Roman" w:hAnsi="Times New Roman"/>
          <w:sz w:val="28"/>
          <w:szCs w:val="28"/>
        </w:rPr>
        <w:t xml:space="preserve"> от 28.12.2013 </w:t>
      </w:r>
      <w:r>
        <w:rPr>
          <w:rFonts w:ascii="Times New Roman" w:hAnsi="Times New Roman"/>
          <w:sz w:val="28"/>
          <w:szCs w:val="28"/>
        </w:rPr>
        <w:t>№</w:t>
      </w:r>
      <w:r>
        <w:rPr>
          <w:rFonts w:ascii="Times New Roman" w:hAnsi="Times New Roman"/>
          <w:sz w:val="28"/>
          <w:szCs w:val="28"/>
        </w:rPr>
        <w:t xml:space="preserve"> 442-ФЗ</w:t>
        <w:br/>
        <w:t xml:space="preserve">«Об основах социального обслуживания граждан в Российской Федерации», Федеральным законом от 08.01.1998 </w:t>
      </w:r>
      <w:r>
        <w:rPr>
          <w:rFonts w:ascii="Times New Roman" w:hAnsi="Times New Roman"/>
          <w:sz w:val="28"/>
          <w:szCs w:val="28"/>
        </w:rPr>
        <w:t>№</w:t>
      </w:r>
      <w:r>
        <w:rPr>
          <w:rFonts w:ascii="Times New Roman" w:hAnsi="Times New Roman"/>
          <w:sz w:val="28"/>
          <w:szCs w:val="28"/>
        </w:rPr>
        <w:t xml:space="preserve"> 3-ФЗ «О наркотических средствах и психотропных веществах», приказом Министерства здравоохранения Российской Федерации и Министерства труда и социальной защиты Российской Федерации от 03.05.2023 </w:t>
      </w:r>
      <w:r>
        <w:rPr>
          <w:rFonts w:ascii="Times New Roman" w:hAnsi="Times New Roman"/>
          <w:sz w:val="28"/>
          <w:szCs w:val="28"/>
        </w:rPr>
        <w:t>№</w:t>
      </w:r>
      <w:r>
        <w:rPr>
          <w:rFonts w:ascii="Times New Roman" w:hAnsi="Times New Roman"/>
          <w:sz w:val="28"/>
          <w:szCs w:val="28"/>
        </w:rPr>
        <w:t xml:space="preserve"> 208н/432н «Об утверждении порядка прохождения больными наркоманией медицинской и социальной реабилитации",</w:t>
      </w:r>
    </w:p>
    <w:p>
      <w:pPr>
        <w:pStyle w:val="Normal"/>
        <w:widowContro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40" w:before="0" w:after="0"/>
        <w:ind w:left="0" w:right="0" w:firstLine="737"/>
        <w:contextualSpacing/>
        <w:jc w:val="both"/>
        <w:rPr>
          <w:sz w:val="28"/>
          <w:szCs w:val="28"/>
        </w:rPr>
      </w:pPr>
      <w:r>
        <w:rPr>
          <w:rFonts w:ascii="Times New Roman" w:hAnsi="Times New Roman"/>
          <w:sz w:val="28"/>
          <w:szCs w:val="28"/>
        </w:rPr>
        <w:t>ПРИКАЗЫВАЕМ:</w:t>
      </w:r>
    </w:p>
    <w:p>
      <w:pPr>
        <w:pStyle w:val="Normal"/>
        <w:widowControl/>
        <w:numPr>
          <w:ilvl w:val="0"/>
          <w:numId w:val="0"/>
        </w:numPr>
        <w:bidi w:val="0"/>
        <w:spacing w:lineRule="auto" w:line="240" w:before="0" w:after="0"/>
        <w:ind w:left="0" w:right="0" w:hanging="0"/>
        <w:contextualSpacing/>
        <w:jc w:val="both"/>
        <w:rPr>
          <w:sz w:val="28"/>
          <w:szCs w:val="28"/>
        </w:rPr>
      </w:pPr>
      <w:r>
        <w:rPr>
          <w:sz w:val="28"/>
          <w:szCs w:val="28"/>
        </w:rPr>
      </w:r>
    </w:p>
    <w:p>
      <w:pPr>
        <w:pStyle w:val="Normal"/>
        <w:widowControl/>
        <w:bidi w:val="0"/>
        <w:spacing w:lineRule="auto" w:line="240" w:before="0" w:after="0"/>
        <w:ind w:left="0" w:right="0" w:firstLine="737"/>
        <w:contextualSpacing/>
        <w:jc w:val="both"/>
        <w:rPr>
          <w:sz w:val="28"/>
          <w:szCs w:val="28"/>
        </w:rPr>
      </w:pPr>
      <w:r>
        <w:rPr>
          <w:rFonts w:ascii="Times New Roman" w:hAnsi="Times New Roman"/>
          <w:sz w:val="28"/>
          <w:szCs w:val="28"/>
        </w:rPr>
        <w:t>1. </w:t>
      </w:r>
      <w:r>
        <w:rPr>
          <w:rFonts w:ascii="Times New Roman" w:hAnsi="Times New Roman"/>
          <w:sz w:val="28"/>
          <w:szCs w:val="28"/>
        </w:rPr>
        <w:t xml:space="preserve">Утвердить регламент взаимодействия медицинских организаций, оказывающих медицинскую помощь по профилю «психиатрия-наркология», с организациями социального обслуживания, оказывающими услуги по социальной реабилитации больных наркоманией, </w:t>
      </w:r>
      <w:r>
        <w:rPr>
          <w:rFonts w:ascii="Times New Roman" w:hAnsi="Times New Roman"/>
          <w:sz w:val="28"/>
          <w:szCs w:val="28"/>
        </w:rPr>
        <w:t>согласно приложению к настоящему приказу.</w:t>
      </w:r>
    </w:p>
    <w:p>
      <w:pPr>
        <w:pStyle w:val="Normal"/>
        <w:widowControl/>
        <w:bidi w:val="0"/>
        <w:spacing w:lineRule="auto" w:line="240" w:before="0" w:after="0"/>
        <w:ind w:left="0" w:right="0" w:firstLine="737"/>
        <w:contextualSpacing/>
        <w:jc w:val="both"/>
        <w:rPr>
          <w:sz w:val="28"/>
          <w:szCs w:val="28"/>
        </w:rPr>
      </w:pPr>
      <w:r>
        <w:rPr>
          <w:rFonts w:ascii="Times New Roman" w:hAnsi="Times New Roman"/>
          <w:sz w:val="28"/>
          <w:szCs w:val="28"/>
        </w:rPr>
        <w:t>2. Настоящий приказ вступает в силу после дня его официального опубликования.</w:t>
      </w:r>
    </w:p>
    <w:p>
      <w:pPr>
        <w:pStyle w:val="Normal"/>
        <w:widowContro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tbl>
      <w:tblPr>
        <w:tblStyle w:val="Style_2"/>
        <w:tblW w:w="10273" w:type="dxa"/>
        <w:jc w:val="left"/>
        <w:tblInd w:w="0" w:type="dxa"/>
        <w:tblLayout w:type="fixed"/>
        <w:tblCellMar>
          <w:top w:w="0" w:type="dxa"/>
          <w:left w:w="0" w:type="dxa"/>
          <w:bottom w:w="0" w:type="dxa"/>
          <w:right w:w="0" w:type="dxa"/>
        </w:tblCellMar>
      </w:tblPr>
      <w:tblGrid>
        <w:gridCol w:w="5044"/>
        <w:gridCol w:w="450"/>
        <w:gridCol w:w="4779"/>
      </w:tblGrid>
      <w:tr>
        <w:trPr>
          <w:trHeight w:val="1125" w:hRule="atLeast"/>
        </w:trPr>
        <w:tc>
          <w:tcPr>
            <w:tcW w:w="5044" w:type="dxa"/>
            <w:tcBorders/>
            <w:shd w:fill="auto" w:val="clear"/>
          </w:tcPr>
          <w:p>
            <w:pPr>
              <w:pStyle w:val="Normal"/>
              <w:widowControl/>
              <w:spacing w:lineRule="auto" w:line="240" w:before="0" w:after="0"/>
              <w:ind w:left="0" w:right="0" w:hanging="0"/>
              <w:contextualSpacing/>
              <w:jc w:val="center"/>
              <w:rPr>
                <w:color w:val="000000"/>
                <w:spacing w:val="0"/>
                <w:kern w:val="0"/>
                <w:sz w:val="28"/>
                <w:szCs w:val="28"/>
              </w:rPr>
            </w:pPr>
            <w:r>
              <w:rPr>
                <w:rFonts w:ascii="Times New Roman" w:hAnsi="Times New Roman"/>
                <w:color w:val="000000"/>
                <w:spacing w:val="0"/>
                <w:kern w:val="0"/>
                <w:sz w:val="28"/>
                <w:szCs w:val="28"/>
              </w:rPr>
              <w:t>И.о. Министра социального благополучия и семейной политики Камчатского края</w:t>
            </w:r>
          </w:p>
        </w:tc>
        <w:tc>
          <w:tcPr>
            <w:tcW w:w="450" w:type="dxa"/>
            <w:tcBorders/>
            <w:shd w:fill="auto" w:val="clear"/>
          </w:tcPr>
          <w:p>
            <w:pPr>
              <w:pStyle w:val="Normal"/>
              <w:widowControl/>
              <w:spacing w:lineRule="auto" w:line="240" w:before="0" w:after="0"/>
              <w:ind w:left="0" w:right="0" w:hanging="0"/>
              <w:contextualSpacing/>
              <w:jc w:val="left"/>
              <w:rPr>
                <w:spacing w:val="0"/>
                <w:kern w:val="0"/>
                <w:sz w:val="28"/>
                <w:szCs w:val="28"/>
              </w:rPr>
            </w:pPr>
            <w:r>
              <w:rPr>
                <w:spacing w:val="0"/>
                <w:kern w:val="0"/>
                <w:sz w:val="28"/>
                <w:szCs w:val="28"/>
              </w:rPr>
            </w:r>
          </w:p>
        </w:tc>
        <w:tc>
          <w:tcPr>
            <w:tcW w:w="4779" w:type="dxa"/>
            <w:tcBorders/>
            <w:shd w:fill="auto" w:val="clear"/>
          </w:tcPr>
          <w:p>
            <w:pPr>
              <w:pStyle w:val="Normal"/>
              <w:widowControl/>
              <w:spacing w:lineRule="auto" w:line="240" w:before="0" w:after="0"/>
              <w:ind w:left="0" w:right="0" w:hanging="0"/>
              <w:contextualSpacing/>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Министр здравоохранения Камчатского края</w:t>
            </w:r>
          </w:p>
        </w:tc>
      </w:tr>
      <w:tr>
        <w:trPr>
          <w:trHeight w:val="326" w:hRule="atLeast"/>
        </w:trPr>
        <w:tc>
          <w:tcPr>
            <w:tcW w:w="5044" w:type="dxa"/>
            <w:tcBorders/>
            <w:shd w:fill="auto" w:val="clear"/>
          </w:tcPr>
          <w:p>
            <w:pPr>
              <w:pStyle w:val="Normal"/>
              <w:widowControl/>
              <w:spacing w:lineRule="auto" w:line="240" w:before="0" w:after="0"/>
              <w:ind w:left="0" w:right="0" w:hanging="0"/>
              <w:contextualSpacing/>
              <w:jc w:val="center"/>
              <w:rPr>
                <w:color w:val="000000"/>
                <w:spacing w:val="0"/>
                <w:kern w:val="0"/>
                <w:sz w:val="28"/>
                <w:szCs w:val="28"/>
              </w:rPr>
            </w:pPr>
            <w:r>
              <w:rPr>
                <w:rFonts w:ascii="Times New Roman" w:hAnsi="Times New Roman"/>
                <w:color w:val="000000"/>
                <w:spacing w:val="0"/>
                <w:kern w:val="0"/>
                <w:sz w:val="28"/>
                <w:szCs w:val="28"/>
              </w:rPr>
              <w:t>Ю.О. Горелова</w:t>
            </w:r>
          </w:p>
        </w:tc>
        <w:tc>
          <w:tcPr>
            <w:tcW w:w="450" w:type="dxa"/>
            <w:tcBorders/>
            <w:shd w:fill="auto" w:val="clear"/>
          </w:tcPr>
          <w:p>
            <w:pPr>
              <w:pStyle w:val="Normal"/>
              <w:widowControl/>
              <w:spacing w:lineRule="auto" w:line="240" w:before="0" w:after="0"/>
              <w:ind w:left="0" w:right="0" w:hanging="0"/>
              <w:contextualSpacing/>
              <w:jc w:val="left"/>
              <w:rPr>
                <w:spacing w:val="0"/>
                <w:kern w:val="0"/>
                <w:sz w:val="28"/>
                <w:szCs w:val="28"/>
              </w:rPr>
            </w:pPr>
            <w:r>
              <w:rPr>
                <w:spacing w:val="0"/>
                <w:kern w:val="0"/>
                <w:sz w:val="28"/>
                <w:szCs w:val="28"/>
              </w:rPr>
            </w:r>
          </w:p>
        </w:tc>
        <w:tc>
          <w:tcPr>
            <w:tcW w:w="4779" w:type="dxa"/>
            <w:tcBorders/>
            <w:shd w:fill="auto" w:val="clear"/>
          </w:tcPr>
          <w:p>
            <w:pPr>
              <w:pStyle w:val="Normal"/>
              <w:widowControl/>
              <w:spacing w:lineRule="auto" w:line="240" w:before="0" w:after="0"/>
              <w:ind w:left="0" w:right="0" w:hanging="0"/>
              <w:contextualSpacing/>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А.В. Гашков</w:t>
            </w:r>
          </w:p>
        </w:tc>
      </w:tr>
      <w:tr>
        <w:trPr>
          <w:trHeight w:val="1143" w:hRule="atLeast"/>
        </w:trPr>
        <w:tc>
          <w:tcPr>
            <w:tcW w:w="5044" w:type="dxa"/>
            <w:tcBorders/>
            <w:shd w:fill="auto" w:val="clear"/>
          </w:tcPr>
          <w:p>
            <w:pPr>
              <w:pStyle w:val="Normal"/>
              <w:widowControl/>
              <w:spacing w:lineRule="auto" w:line="240" w:before="0" w:after="0"/>
              <w:ind w:left="0" w:right="0" w:hanging="0"/>
              <w:contextualSpacing/>
              <w:jc w:val="center"/>
              <w:rPr>
                <w:rFonts w:ascii="Times New Roman" w:hAnsi="Times New Roman"/>
                <w:spacing w:val="0"/>
                <w:kern w:val="0"/>
                <w:sz w:val="28"/>
                <w:szCs w:val="28"/>
              </w:rPr>
            </w:pPr>
            <w:bookmarkStart w:id="1" w:name="SIGNERSTAMP1"/>
            <w:r>
              <w:rPr>
                <w:rFonts w:ascii="Times New Roman" w:hAnsi="Times New Roman"/>
                <w:color w:val="D9D9D9"/>
                <w:spacing w:val="0"/>
                <w:kern w:val="0"/>
                <w:sz w:val="28"/>
                <w:szCs w:val="28"/>
              </w:rPr>
              <w:t>[горизонтальный штамп подписи 1]</w:t>
            </w:r>
            <w:bookmarkEnd w:id="1"/>
          </w:p>
        </w:tc>
        <w:tc>
          <w:tcPr>
            <w:tcW w:w="450" w:type="dxa"/>
            <w:tcBorders/>
            <w:shd w:fill="auto" w:val="clear"/>
          </w:tcPr>
          <w:p>
            <w:pPr>
              <w:pStyle w:val="Normal"/>
              <w:widowControl/>
              <w:spacing w:lineRule="auto" w:line="240" w:before="0" w:after="0"/>
              <w:ind w:left="0" w:right="0" w:hanging="0"/>
              <w:contextualSpacing/>
              <w:jc w:val="center"/>
              <w:rPr>
                <w:color w:val="D9D9D9"/>
              </w:rPr>
            </w:pPr>
            <w:r>
              <w:rPr>
                <w:rFonts w:ascii="Times New Roman" w:hAnsi="Times New Roman"/>
                <w:spacing w:val="0"/>
                <w:kern w:val="0"/>
                <w:sz w:val="28"/>
                <w:szCs w:val="28"/>
              </w:rPr>
            </w:r>
          </w:p>
        </w:tc>
        <w:tc>
          <w:tcPr>
            <w:tcW w:w="4779" w:type="dxa"/>
            <w:tcBorders/>
            <w:shd w:fill="auto" w:val="clear"/>
          </w:tcPr>
          <w:p>
            <w:pPr>
              <w:pStyle w:val="Normal"/>
              <w:widowControl/>
              <w:spacing w:lineRule="auto" w:line="240" w:before="0" w:after="0"/>
              <w:ind w:left="0" w:right="0" w:hanging="0"/>
              <w:contextualSpacing/>
              <w:jc w:val="center"/>
              <w:rPr>
                <w:rFonts w:ascii="Times New Roman" w:hAnsi="Times New Roman"/>
                <w:color w:val="000000"/>
              </w:rPr>
            </w:pPr>
            <w:bookmarkStart w:id="2" w:name="SIGNERSTAMP2"/>
            <w:r>
              <w:rPr>
                <w:rFonts w:ascii="Times New Roman" w:hAnsi="Times New Roman"/>
                <w:color w:val="D9D9D9"/>
                <w:spacing w:val="0"/>
                <w:kern w:val="0"/>
                <w:sz w:val="28"/>
                <w:szCs w:val="28"/>
              </w:rPr>
              <w:t>[горизонтальный штамп подписи 2]</w:t>
            </w:r>
            <w:bookmarkEnd w:id="2"/>
          </w:p>
        </w:tc>
      </w:tr>
    </w:tbl>
    <w:p>
      <w:pPr>
        <w:sectPr>
          <w:type w:val="nextPage"/>
          <w:pgSz w:w="11906" w:h="16838"/>
          <w:pgMar w:left="1134" w:right="850" w:gutter="0" w:header="0" w:top="850" w:footer="0" w:bottom="539"/>
          <w:pgNumType w:fmt="decimal"/>
          <w:formProt w:val="false"/>
          <w:textDirection w:val="lrTb"/>
          <w:docGrid w:type="default" w:linePitch="100" w:charSpace="4096"/>
        </w:sectPr>
        <w:pStyle w:val="Normal"/>
        <w:widowControl w:val="false"/>
        <w:spacing w:lineRule="auto" w:line="240" w:before="0" w:after="0"/>
        <w:ind w:left="5669" w:right="0" w:hanging="0"/>
        <w:rPr>
          <w:rFonts w:ascii="Times New Roman" w:hAnsi="Times New Roman"/>
          <w:sz w:val="28"/>
        </w:rPr>
      </w:pPr>
      <w:r>
        <w:rPr/>
      </w:r>
    </w:p>
    <w:p>
      <w:pPr>
        <w:pStyle w:val="Normal"/>
        <w:widowControl w:val="false"/>
        <w:spacing w:lineRule="auto" w:line="240" w:before="0" w:after="0"/>
        <w:ind w:left="5669" w:right="0" w:hanging="0"/>
        <w:rPr>
          <w:rFonts w:ascii="Times New Roman" w:hAnsi="Times New Roman"/>
          <w:sz w:val="28"/>
        </w:rPr>
      </w:pPr>
      <w:r>
        <w:rPr>
          <w:rFonts w:ascii="Times New Roman" w:hAnsi="Times New Roman"/>
          <w:sz w:val="28"/>
        </w:rPr>
        <w:t>Приложение к приказу</w:t>
      </w:r>
    </w:p>
    <w:p>
      <w:pPr>
        <w:pStyle w:val="Normal"/>
        <w:widowControl w:val="false"/>
        <w:spacing w:lineRule="auto" w:line="240" w:before="0" w:after="0"/>
        <w:ind w:left="5669" w:right="0" w:hanging="0"/>
        <w:rPr>
          <w:rFonts w:ascii="Times New Roman" w:hAnsi="Times New Roman"/>
          <w:sz w:val="28"/>
        </w:rPr>
      </w:pPr>
      <w:r>
        <w:rPr>
          <w:rFonts w:ascii="Times New Roman" w:hAnsi="Times New Roman"/>
          <w:sz w:val="28"/>
        </w:rPr>
        <w:t>Министерства социального благополучия и семейной политики Камчатского края</w:t>
      </w:r>
    </w:p>
    <w:p>
      <w:pPr>
        <w:pStyle w:val="Normal"/>
        <w:widowControl w:val="false"/>
        <w:spacing w:lineRule="auto" w:line="240" w:before="0" w:after="0"/>
        <w:ind w:left="5669" w:right="0" w:hanging="0"/>
        <w:rPr>
          <w:rFonts w:ascii="Times New Roman" w:hAnsi="Times New Roman"/>
          <w:sz w:val="28"/>
        </w:rPr>
      </w:pPr>
      <w:r>
        <w:rPr>
          <w:rFonts w:ascii="Times New Roman" w:hAnsi="Times New Roman"/>
          <w:sz w:val="28"/>
        </w:rPr>
        <w:t>Министерства здравоохранения Камчатского края</w:t>
      </w:r>
    </w:p>
    <w:p>
      <w:pPr>
        <w:pStyle w:val="Normal"/>
        <w:widowControl w:val="false"/>
        <w:spacing w:lineRule="auto" w:line="240" w:before="0" w:after="0"/>
        <w:ind w:left="5669" w:right="0" w:hanging="0"/>
        <w:rPr>
          <w:rFonts w:ascii="Times New Roman" w:hAnsi="Times New Roman"/>
          <w:sz w:val="28"/>
        </w:rPr>
      </w:pPr>
      <w:r>
        <w:rPr>
          <w:rFonts w:ascii="Times New Roman" w:hAnsi="Times New Roman"/>
          <w:sz w:val="28"/>
        </w:rPr>
        <w:t>от [Дата регистрации] № [Номер документа]</w:t>
      </w:r>
    </w:p>
    <w:p>
      <w:pPr>
        <w:pStyle w:val="Normal"/>
        <w:spacing w:lineRule="auto" w:line="240" w:before="0" w:after="0"/>
        <w:ind w:left="142" w:right="-261" w:hanging="0"/>
        <w:jc w:val="center"/>
        <w:rPr>
          <w:rFonts w:ascii="Times New Roman" w:hAnsi="Times New Roman"/>
          <w:b/>
          <w:sz w:val="28"/>
        </w:rPr>
      </w:pPr>
      <w:r>
        <w:rPr>
          <w:rFonts w:ascii="Times New Roman" w:hAnsi="Times New Roman"/>
          <w:b/>
          <w:sz w:val="28"/>
        </w:rPr>
      </w:r>
    </w:p>
    <w:p>
      <w:pPr>
        <w:pStyle w:val="Normal"/>
        <w:widowControl/>
        <w:bidi w:val="0"/>
        <w:spacing w:lineRule="auto" w:line="240" w:before="0" w:after="0"/>
        <w:ind w:left="0" w:right="-283" w:hanging="0"/>
        <w:jc w:val="center"/>
        <w:rPr>
          <w:rFonts w:ascii="Times New Roman" w:hAnsi="Times New Roman"/>
          <w:sz w:val="24"/>
        </w:rPr>
      </w:pPr>
      <w:r>
        <w:rPr>
          <w:rFonts w:ascii="Times New Roman" w:hAnsi="Times New Roman"/>
          <w:b/>
          <w:sz w:val="28"/>
        </w:rPr>
        <w:t>Р</w:t>
      </w:r>
      <w:r>
        <w:rPr>
          <w:rFonts w:ascii="Times New Roman" w:hAnsi="Times New Roman"/>
          <w:b/>
          <w:sz w:val="28"/>
        </w:rPr>
        <w:t>егламент</w:t>
      </w:r>
    </w:p>
    <w:p>
      <w:pPr>
        <w:pStyle w:val="Normal"/>
        <w:widowControl/>
        <w:bidi w:val="0"/>
        <w:spacing w:lineRule="auto" w:line="240" w:before="0" w:after="0"/>
        <w:ind w:left="0" w:right="-283" w:hanging="0"/>
        <w:jc w:val="center"/>
        <w:rPr>
          <w:rFonts w:ascii="Times New Roman" w:hAnsi="Times New Roman"/>
          <w:sz w:val="24"/>
        </w:rPr>
      </w:pPr>
      <w:r>
        <w:rPr>
          <w:rFonts w:ascii="Times New Roman" w:hAnsi="Times New Roman"/>
          <w:b/>
          <w:sz w:val="28"/>
        </w:rPr>
        <w:t xml:space="preserve">взаимодействия медицинских организаций, оказывающих медицинскую помощь по профилю «психиатрия-наркология», с организациями социального обслуживания, оказывающими услуги по социальной реабилитации больных наркоманией </w:t>
      </w:r>
      <w:r>
        <w:rPr>
          <w:rFonts w:ascii="Times New Roman" w:hAnsi="Times New Roman"/>
          <w:b/>
          <w:sz w:val="28"/>
        </w:rPr>
        <w:t>(далее — Регламент)</w:t>
      </w:r>
    </w:p>
    <w:p>
      <w:pPr>
        <w:pStyle w:val="Normal"/>
        <w:tabs>
          <w:tab w:val="clear" w:pos="708"/>
          <w:tab w:val="left" w:pos="284" w:leader="none"/>
        </w:tabs>
        <w:spacing w:lineRule="auto" w:line="240" w:before="0" w:after="0"/>
        <w:ind w:left="0" w:right="-1" w:firstLine="709"/>
        <w:jc w:val="both"/>
        <w:rPr>
          <w:rFonts w:ascii="Times New Roman" w:hAnsi="Times New Roman"/>
          <w:sz w:val="24"/>
        </w:rPr>
      </w:pPr>
      <w:r>
        <w:rPr>
          <w:rFonts w:ascii="Times New Roman" w:hAnsi="Times New Roman"/>
          <w:sz w:val="24"/>
        </w:rPr>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1. Настоящий Регламент разработан в соответствии с совместным приказом Министерства здравоохранения Российской Федерации и Министерства труда и социальной защиты Российской Федерации от </w:t>
      </w:r>
      <w:r>
        <w:rPr>
          <w:rFonts w:ascii="Times New Roman" w:hAnsi="Times New Roman"/>
          <w:sz w:val="28"/>
          <w:szCs w:val="28"/>
        </w:rPr>
        <w:t>03.05.</w:t>
      </w:r>
      <w:r>
        <w:rPr>
          <w:rFonts w:ascii="Times New Roman" w:hAnsi="Times New Roman"/>
          <w:sz w:val="28"/>
          <w:szCs w:val="28"/>
        </w:rPr>
        <w:t xml:space="preserve">2023 </w:t>
      </w:r>
      <w:r>
        <w:rPr>
          <w:rFonts w:ascii="Times New Roman" w:hAnsi="Times New Roman"/>
          <w:sz w:val="28"/>
          <w:szCs w:val="28"/>
        </w:rPr>
        <w:t>№</w:t>
      </w:r>
      <w:r>
        <w:rPr>
          <w:rFonts w:ascii="Times New Roman" w:hAnsi="Times New Roman"/>
          <w:sz w:val="28"/>
          <w:szCs w:val="28"/>
        </w:rPr>
        <w:t xml:space="preserve"> 208н/432н</w:t>
        <w:br/>
        <w:t>«Об утверждении Порядка прохождения больными наркоманией медицинской и социальной реабилитации» и устанавливает основания, а также условия взаимодействия медицинских организаций, оказывающих медицинскую помощь по профилю «психиатрия-наркология» (далее — медицинские организации), с организациями социального обслуживания, оказывающими услуги по социальной реабилитации граждан, признанных нуждающимися в социальном обслуживании (далее — организации социального обслуживания).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2. Организация межведомственного взаимодействия между </w:t>
      </w:r>
      <w:r>
        <w:rPr>
          <w:rFonts w:ascii="Times New Roman" w:hAnsi="Times New Roman"/>
          <w:sz w:val="28"/>
          <w:szCs w:val="28"/>
        </w:rPr>
        <w:t>М</w:t>
      </w:r>
      <w:r>
        <w:rPr>
          <w:rFonts w:ascii="Times New Roman" w:hAnsi="Times New Roman"/>
          <w:sz w:val="28"/>
          <w:szCs w:val="28"/>
        </w:rPr>
        <w:t xml:space="preserve">инистерством здравоохранения </w:t>
      </w:r>
      <w:r>
        <w:rPr>
          <w:rFonts w:ascii="Times New Roman" w:hAnsi="Times New Roman"/>
          <w:sz w:val="28"/>
          <w:szCs w:val="28"/>
        </w:rPr>
        <w:t>Камчатского края</w:t>
      </w:r>
      <w:r>
        <w:rPr>
          <w:rFonts w:ascii="Times New Roman" w:hAnsi="Times New Roman"/>
          <w:sz w:val="28"/>
          <w:szCs w:val="28"/>
        </w:rPr>
        <w:t xml:space="preserve"> и </w:t>
      </w:r>
      <w:r>
        <w:rPr>
          <w:rFonts w:ascii="Times New Roman" w:hAnsi="Times New Roman"/>
          <w:sz w:val="28"/>
          <w:szCs w:val="28"/>
        </w:rPr>
        <w:t>М</w:t>
      </w:r>
      <w:r>
        <w:rPr>
          <w:rFonts w:ascii="Times New Roman" w:hAnsi="Times New Roman"/>
          <w:sz w:val="28"/>
          <w:szCs w:val="28"/>
        </w:rPr>
        <w:t xml:space="preserve">инистерством </w:t>
      </w:r>
      <w:r>
        <w:rPr>
          <w:rFonts w:ascii="Times New Roman" w:hAnsi="Times New Roman"/>
          <w:sz w:val="28"/>
          <w:szCs w:val="28"/>
        </w:rPr>
        <w:t>социального благополучия и семейной политики Камчатского края</w:t>
      </w:r>
      <w:r>
        <w:rPr>
          <w:rFonts w:ascii="Times New Roman" w:hAnsi="Times New Roman"/>
          <w:sz w:val="28"/>
          <w:szCs w:val="28"/>
        </w:rPr>
        <w:t xml:space="preserve"> направлена на осуществление координации действий, необходимых для медицинской реабилитации и социальной реабилитации граждан, больных наркоманией.</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3. Целью межведомственного взаимодействия является формирование многоуровневой системы выявления и мотивирования лиц, осуществляющих незаконное потребление наркотических средств или психотропных веществ, к участию в программах реабилитации указанных лиц, обеспечивающих своевременное выявление и лечение лиц, потребляющих наркотики, реабилитацию и восстановление их социального и общественного статуса.</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4. Задачами взаимодействия медицинских организаций и организаций социального обслуживания являются: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обеспечение последовательности и преемственности в оказании помощи лицам, страдающим психическими расстройствами и расстройствами поведения, связанными с потреблением наркотических средств или психотропных веществ;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организация медицинского наблюдения за состоянием здоровья лиц, обратившихся за помощью, связанного с потреблением наркотических средств или психотропных веществ;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профилактика рецидивов незаконного потребления наркотических средств или психотропных веществ.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5. Участники межведомственного взаимодействия — медицинские организации, подведомственные </w:t>
      </w:r>
      <w:r>
        <w:rPr>
          <w:rFonts w:ascii="Times New Roman" w:hAnsi="Times New Roman"/>
          <w:sz w:val="28"/>
          <w:szCs w:val="28"/>
        </w:rPr>
        <w:t>М</w:t>
      </w:r>
      <w:r>
        <w:rPr>
          <w:rFonts w:ascii="Times New Roman" w:hAnsi="Times New Roman"/>
          <w:sz w:val="28"/>
          <w:szCs w:val="28"/>
        </w:rPr>
        <w:t xml:space="preserve">инистерству здравоохранения </w:t>
      </w:r>
      <w:r>
        <w:rPr>
          <w:rFonts w:ascii="Times New Roman" w:hAnsi="Times New Roman"/>
          <w:sz w:val="28"/>
          <w:szCs w:val="28"/>
        </w:rPr>
        <w:t>Камчатского края</w:t>
      </w:r>
      <w:r>
        <w:rPr>
          <w:rFonts w:ascii="Times New Roman" w:hAnsi="Times New Roman"/>
          <w:sz w:val="28"/>
          <w:szCs w:val="28"/>
        </w:rPr>
        <w:t xml:space="preserve">, и </w:t>
      </w:r>
      <w:r>
        <w:rPr>
          <w:rFonts w:ascii="Times New Roman" w:hAnsi="Times New Roman"/>
          <w:sz w:val="28"/>
          <w:szCs w:val="28"/>
        </w:rPr>
        <w:t>организации</w:t>
      </w:r>
      <w:r>
        <w:rPr>
          <w:rFonts w:ascii="Times New Roman" w:hAnsi="Times New Roman"/>
          <w:sz w:val="28"/>
          <w:szCs w:val="28"/>
        </w:rPr>
        <w:t xml:space="preserve"> социального обслуживания, подведомственные </w:t>
      </w:r>
      <w:r>
        <w:rPr>
          <w:rFonts w:ascii="Times New Roman" w:hAnsi="Times New Roman"/>
          <w:sz w:val="28"/>
          <w:szCs w:val="28"/>
        </w:rPr>
        <w:t>М</w:t>
      </w:r>
      <w:r>
        <w:rPr>
          <w:rFonts w:ascii="Times New Roman" w:hAnsi="Times New Roman"/>
          <w:sz w:val="28"/>
          <w:szCs w:val="28"/>
        </w:rPr>
        <w:t xml:space="preserve">инистерству </w:t>
      </w:r>
      <w:r>
        <w:rPr>
          <w:rFonts w:ascii="Times New Roman" w:hAnsi="Times New Roman"/>
          <w:sz w:val="28"/>
          <w:szCs w:val="28"/>
        </w:rPr>
        <w:t>социального благополучия и семейной политики Камчатского края</w:t>
      </w:r>
      <w:r>
        <w:rPr>
          <w:rFonts w:ascii="Times New Roman" w:hAnsi="Times New Roman"/>
          <w:sz w:val="28"/>
          <w:szCs w:val="28"/>
        </w:rPr>
        <w:t>, оказывающие услуги по медицинской и социальной реабилитации.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К организациям социального обслуживания, в целях настоящего </w:t>
      </w:r>
      <w:r>
        <w:rPr>
          <w:rFonts w:ascii="Times New Roman" w:hAnsi="Times New Roman"/>
          <w:sz w:val="28"/>
          <w:szCs w:val="28"/>
        </w:rPr>
        <w:t>Регламента</w:t>
      </w:r>
      <w:r>
        <w:rPr>
          <w:rFonts w:ascii="Times New Roman" w:hAnsi="Times New Roman"/>
          <w:sz w:val="28"/>
          <w:szCs w:val="28"/>
        </w:rPr>
        <w:t xml:space="preserve">, относятся государственные организации социального обслуживания, а также иные организации, работающие в сфере социальной реабилитации лиц, осуществляющих незаконное потребление наркотических средств или психотропных веществ, включенные в реестр поставщиков социальных услуг </w:t>
      </w:r>
      <w:r>
        <w:rPr>
          <w:rFonts w:ascii="Times New Roman" w:hAnsi="Times New Roman"/>
          <w:sz w:val="28"/>
          <w:szCs w:val="28"/>
        </w:rPr>
        <w:t>Камчатского края</w:t>
      </w:r>
      <w:r>
        <w:rPr>
          <w:rFonts w:ascii="Times New Roman" w:hAnsi="Times New Roman"/>
          <w:sz w:val="28"/>
          <w:szCs w:val="28"/>
        </w:rPr>
        <w:t>.</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6. Взаимодействие между медицинскими организациями и организациями социального обслуживания осуществляется на основе договора (соглашения) о взаимодействии.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договора (соглашения) о взаимодействии устанавливают права и обязанности сторон, принципы их взаимодействия, и предусматривают:</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информирования граждан, обратившихся за медицинской помощью в медицинские организации, о перечне услуг, предоставляемых в организациях социального обслуживания, и условиях их получения;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информирования граждан, обратившихся за услугами по социальной реабилитации в организации социального обслуживания, о перечне медицинских услуг, оказываемых в медицинских организациях, и условиях их получения;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направления в организации социального обслуживания лиц, прошедших медицинскую реабилитацию;</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перечень медицинских услуг и условия их предоставления медицинскими организациями гражданам, обратившимся за услугами по социальной реабилитации в организации социального обслуживания;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и частоту медицинских осмотров врачом — психиатром-наркологом лиц, получающих в организациях социального обслуживания услуги по социальной реабилитации, и проведения им лабораторных исследований с целью диспансерного наблюдения;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обследования лиц, получающих в организациях социального обслуживания услуги по социальной реабилитации, на болезнь, вызванную вирусом иммунодефицита человека, гепатит C, гепатит B, туберкулез;</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доступа сотрудников медицинских организаций в организации социального обслуживания в целях оказания организационно-методической помощи по вопросам реабилитации лиц, осуществляющих незаконное потребление наркотических средств или психотропных веществ;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доступа сотрудников организаций социального обслуживания в медицинские организации в целях оказания организационно-методической помощи по вопросам социальной реабилитации лиц, осуществляющих незаконное потребление наркотических средств или психотропных веществ;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условия организации и проведения сотрудниками организаций социального обслуживания мотивационной работы с гражданами, обратившимися за медицинской помощью.</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Условиями договора (соглашения) должны соблюдаться требования Федерального закона от 27.07.2006 </w:t>
      </w:r>
      <w:r>
        <w:rPr>
          <w:rFonts w:ascii="Times New Roman" w:hAnsi="Times New Roman"/>
          <w:sz w:val="28"/>
          <w:szCs w:val="28"/>
        </w:rPr>
        <w:t>№</w:t>
      </w:r>
      <w:r>
        <w:rPr>
          <w:rFonts w:ascii="Times New Roman" w:hAnsi="Times New Roman"/>
          <w:sz w:val="28"/>
          <w:szCs w:val="28"/>
        </w:rPr>
        <w:t xml:space="preserve"> 152-ФЗ «О персональных данных», статей 13 и 20 Федерального закона от 21.11.2011 </w:t>
      </w:r>
      <w:r>
        <w:rPr>
          <w:rFonts w:ascii="Times New Roman" w:hAnsi="Times New Roman"/>
          <w:sz w:val="28"/>
          <w:szCs w:val="28"/>
        </w:rPr>
        <w:t>№</w:t>
      </w:r>
      <w:r>
        <w:rPr>
          <w:rFonts w:ascii="Times New Roman" w:hAnsi="Times New Roman"/>
          <w:sz w:val="28"/>
          <w:szCs w:val="28"/>
        </w:rPr>
        <w:t xml:space="preserve"> 323-ФЗ «Об основах охраны здоровья граждан в Российской Федерации», Федерального закона от 28.12.2013 </w:t>
      </w:r>
      <w:r>
        <w:rPr>
          <w:rFonts w:ascii="Times New Roman" w:hAnsi="Times New Roman"/>
          <w:sz w:val="28"/>
          <w:szCs w:val="28"/>
        </w:rPr>
        <w:t>№</w:t>
      </w:r>
      <w:r>
        <w:rPr>
          <w:rFonts w:ascii="Times New Roman" w:hAnsi="Times New Roman"/>
          <w:sz w:val="28"/>
          <w:szCs w:val="28"/>
        </w:rPr>
        <w:t xml:space="preserve"> 442-ФЗ «Об основах социального обслуживания граждан в Российской Федерации».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 xml:space="preserve">. Медицинская реабилитация осуществляется </w:t>
      </w:r>
      <w:r>
        <w:rPr>
          <w:rFonts w:ascii="Times New Roman" w:hAnsi="Times New Roman"/>
          <w:sz w:val="28"/>
          <w:szCs w:val="28"/>
        </w:rPr>
        <w:t>медицинскими организациями</w:t>
      </w:r>
      <w:r>
        <w:rPr>
          <w:rFonts w:ascii="Times New Roman" w:hAnsi="Times New Roman"/>
          <w:sz w:val="28"/>
          <w:szCs w:val="28"/>
        </w:rPr>
        <w:t xml:space="preserve"> при наличии информированного добровольного согласия на медицинское вмешательство больных наркоманией,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 Больные наркоманией направляются врачом-психиатром-наркологом на медицинскую реабилитацию по окончании лечения в медицинско</w:t>
      </w:r>
      <w:r>
        <w:rPr>
          <w:rFonts w:ascii="Times New Roman" w:hAnsi="Times New Roman"/>
          <w:sz w:val="28"/>
          <w:szCs w:val="28"/>
        </w:rPr>
        <w:t>й</w:t>
      </w:r>
      <w:r>
        <w:rPr>
          <w:rFonts w:ascii="Times New Roman" w:hAnsi="Times New Roman"/>
          <w:sz w:val="28"/>
          <w:szCs w:val="28"/>
        </w:rPr>
        <w:t xml:space="preserve"> </w:t>
      </w:r>
      <w:r>
        <w:rPr>
          <w:rFonts w:ascii="Times New Roman" w:hAnsi="Times New Roman"/>
          <w:sz w:val="28"/>
          <w:szCs w:val="28"/>
        </w:rPr>
        <w:t>организации</w:t>
      </w:r>
      <w:r>
        <w:rPr>
          <w:rFonts w:ascii="Times New Roman" w:hAnsi="Times New Roman"/>
          <w:sz w:val="28"/>
          <w:szCs w:val="28"/>
        </w:rPr>
        <w:t xml:space="preserve"> при наличии медицинских показаний, определяемых врачом психиатром-наркологом.</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 Медицинские организации: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проводят мотивационное консультирование больных наркоманией в целях побуждения их к прохождению (завершению) медицинской реабилитации;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совместно с организациями социального обслуживания информируют больных наркоманией, прошедших или проходящих медицинскую реабилитацию, о возможности (необходимости) прохождения социальной реабилитации в организациях социального обслуживания;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обеспечивают взаимодействие с организациями социального обслуживания в части направления больных наркоманией, прошедших реабилитацию, о возможности (необходимости) прохождения социальной реабилитации в организациях социального обслуживания;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обеспечивают взаимодействие с организациями социального обслуживания в части направления больных наркоманией, прошедших медицинскую реабилитацию и признанных нуждающимися в социальном обслуживании, для прохождения социальной реабилитации.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 xml:space="preserve">. Признание больных наркоманией нуждающимися в социальном обслуживании осуществляется </w:t>
      </w:r>
      <w:r>
        <w:rPr>
          <w:rFonts w:ascii="Times New Roman" w:hAnsi="Times New Roman"/>
          <w:sz w:val="28"/>
          <w:szCs w:val="28"/>
        </w:rPr>
        <w:t>организациями, находящимися в ведении Министерства социального благополучия и семейной политики Камчатского края, уполномоченными на признание граждан нуждающимися в социальном обслуживании и составление индивидуальной программы,</w:t>
      </w:r>
      <w:r>
        <w:rPr>
          <w:rFonts w:ascii="Times New Roman" w:hAnsi="Times New Roman"/>
          <w:sz w:val="28"/>
          <w:szCs w:val="28"/>
        </w:rPr>
        <w:t xml:space="preserve"> на этапе медицинской реабилитации в медицинских организациях.</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 Сотрудники медицинской организации письменно уведомляют организации социального обслуживания, осуществляющие социальную реабилитацию, в срок не более пяти рабочих дней до окончания срока медицинской реабилитации о согласии гражданина на проведение социальной реабилитации.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 Специалист организации социального обслуживания организует выход в медицинскую организацию в целях:</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 xml:space="preserve">информирования больных наркоманией о получении услуг по социальной реабилитации в государственных организациях социального обслуживания, а также в негосударственных организациях, включенных в реестр поставщиков социальных услуг </w:t>
      </w:r>
      <w:r>
        <w:rPr>
          <w:rFonts w:ascii="Times New Roman" w:hAnsi="Times New Roman"/>
          <w:sz w:val="28"/>
          <w:szCs w:val="28"/>
        </w:rPr>
        <w:t>Камчатского края</w:t>
      </w:r>
      <w:r>
        <w:rPr>
          <w:rFonts w:ascii="Times New Roman" w:hAnsi="Times New Roman"/>
          <w:sz w:val="28"/>
          <w:szCs w:val="28"/>
        </w:rPr>
        <w:t>;</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социального сопровождения при оказании содействия в трудоустройстве, в оформлении документов на получение социальных льгот, выплат и так далее;</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предоставления социально-психологической помощи членам семей больных наркоманией;</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проведения анализа возможности содействия лицам, прошедшим лечение от наркомании, в поиске подходящей работы, профессионального обучения и дополнительного профессионального образования.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 Специалист организации социального обслуживания получает от лица, больного наркоманией, заявление о признании нуждающимся в социальном обслуживании.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Организация социального обслуживания, осуществляющая социальную реабилитацию больных наркоманией, формирует пакет документов, необходимых для признания нуждающимся в социальном обслуживании.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 При направлении на социальную реабилитацию медицинские организации выдают больным наркоманией (одному из родителей или иному законному представителю больных наркоманией несовершеннолетних) выписной эпикриз.</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5</w:t>
      </w:r>
      <w:r>
        <w:rPr>
          <w:rFonts w:ascii="Times New Roman" w:hAnsi="Times New Roman"/>
          <w:sz w:val="28"/>
          <w:szCs w:val="28"/>
        </w:rPr>
        <w:t>. Рекомендации, содержащиеся в выписном эпикризе, учитываются при разработке индивидуальной программы предоставления социальных услуг.</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6</w:t>
      </w:r>
      <w:r>
        <w:rPr>
          <w:rFonts w:ascii="Times New Roman" w:hAnsi="Times New Roman"/>
          <w:sz w:val="28"/>
          <w:szCs w:val="28"/>
        </w:rPr>
        <w:t>. Услуги по социальной реабилитации лиц, больных наркоманией, предоставляются признанным нуждающимися в социальном обслуживании больным наркоманией в полустационарной форме социального обслуживания и осуществляются на основании: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заявления по форме, утвержденной приказом Министерства труда и социального развития Р</w:t>
      </w:r>
      <w:r>
        <w:rPr>
          <w:rFonts w:ascii="Times New Roman" w:hAnsi="Times New Roman"/>
          <w:sz w:val="28"/>
          <w:szCs w:val="28"/>
        </w:rPr>
        <w:t>оссийской Федерации</w:t>
      </w:r>
      <w:r>
        <w:rPr>
          <w:rFonts w:ascii="Times New Roman" w:hAnsi="Times New Roman"/>
          <w:sz w:val="28"/>
          <w:szCs w:val="28"/>
        </w:rPr>
        <w:t>;</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индивидуальной программой предоставления социальных услуг;</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договора о предоставлении социальных услуг, заключенного с получателями и с законными представителями получателей социальных услуг.</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7</w:t>
      </w:r>
      <w:r>
        <w:rPr>
          <w:rFonts w:ascii="Times New Roman" w:hAnsi="Times New Roman"/>
          <w:sz w:val="28"/>
          <w:szCs w:val="28"/>
        </w:rPr>
        <w:t>. Социальная реабилитация осуществляется после получения больными наркоманией наркологической помощи и включает в себя: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оказание государственной социальной помощи больным наркоманией на основании социального контракта.</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8</w:t>
      </w:r>
      <w:r>
        <w:rPr>
          <w:rFonts w:ascii="Times New Roman" w:hAnsi="Times New Roman"/>
          <w:sz w:val="28"/>
          <w:szCs w:val="28"/>
        </w:rPr>
        <w:t>. Предоставление услуг должно быть построено на принципах добровольности и уважения к личности, злоупотреблявшей психоактивными веществами, для восстановления духовных, моральных и нравственных общечеловеческих ценностей, воспитания чувств социальной значимости и ответственности, а также приобретения трудовых навыков, опыта проживания в коллективе, решения конфликтов мирным путем и становления в социуме.</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9</w:t>
      </w:r>
      <w:r>
        <w:rPr>
          <w:rFonts w:ascii="Times New Roman" w:hAnsi="Times New Roman"/>
          <w:sz w:val="28"/>
          <w:szCs w:val="28"/>
        </w:rPr>
        <w:t>. При поступлении на социальную реабилитацию гражданин больной наркоманией, проходит собеседование с врачом психиатром-наркологом, психологом или специалистом по социальной работе, который определяет психофизическое состояние, особенности личности, социального и семейного статуса злоупотреблявшего психоактивными веществами.</w:t>
      </w:r>
    </w:p>
    <w:p>
      <w:pPr>
        <w:pStyle w:val="Normal"/>
        <w:widowContro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rPr>
        <w:t>. Основной целью реабилитации является внутреннее изменение моральных и духовных ценностей человека, ментальных привычек, а также обучение и восстановление трудовых навыков, обеспечение возможности трудоустройства (в том числе в специально созданных условиях).</w:t>
      </w:r>
    </w:p>
    <w:sectPr>
      <w:headerReference w:type="default" r:id="rId3"/>
      <w:type w:val="nextPage"/>
      <w:pgSz w:w="11906" w:h="16838"/>
      <w:pgMar w:left="1134" w:right="850" w:gutter="0" w:header="1134" w:top="1275"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XO Thames">
    <w:charset w:val="01"/>
    <w:family w:val="roman"/>
    <w:pitch w:val="default"/>
  </w:font>
  <w:font w:name="Segoe UI">
    <w:charset w:val="01"/>
    <w:family w:val="roman"/>
    <w:pitch w:val="default"/>
  </w:font>
  <w:font w:name="Times New Roman">
    <w:charset w:val="01"/>
    <w:family w:val="roman"/>
    <w:pitch w:val="default"/>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rFonts w:ascii="Times New Roman" w:hAnsi="Times New Roman"/>
        <w:sz w:val="28"/>
      </w:rPr>
    </w:pPr>
    <w:r>
      <w:rPr>
        <w:rFonts w:ascii="Times New Roman" w:hAnsi="Times New Roman"/>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bidi w:val="0"/>
      <w:spacing w:lineRule="auto" w:line="264"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64"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64"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64"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64"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BalloonText">
    <w:name w:val="Balloon Text"/>
    <w:link w:val="BalloonText1"/>
    <w:qFormat/>
    <w:rPr>
      <w:rFonts w:ascii="Segoe UI" w:hAnsi="Segoe UI"/>
      <w:sz w:val="18"/>
    </w:rPr>
  </w:style>
  <w:style w:type="character" w:styleId="Endnote">
    <w:name w:val="Endnote"/>
    <w:link w:val="Endnote1"/>
    <w:qFormat/>
    <w:rPr>
      <w:rFonts w:ascii="XO Thames" w:hAnsi="XO Thames"/>
    </w:rPr>
  </w:style>
  <w:style w:type="character" w:styleId="Heading3">
    <w:name w:val="Heading 3"/>
    <w:qFormat/>
    <w:rPr>
      <w:rFonts w:ascii="XO Thames" w:hAnsi="XO Thames"/>
      <w:b/>
      <w:sz w:val="26"/>
    </w:rPr>
  </w:style>
  <w:style w:type="character" w:styleId="21">
    <w:name w:val="Гиперссылка2"/>
    <w:link w:val="24"/>
    <w:qFormat/>
    <w:rPr>
      <w:color w:val="0000FF"/>
      <w:u w:val="single"/>
    </w:rPr>
  </w:style>
  <w:style w:type="character" w:styleId="22">
    <w:name w:val="Основной шрифт абзаца2"/>
    <w:link w:val="25"/>
    <w:qFormat/>
    <w:rPr/>
  </w:style>
  <w:style w:type="character" w:styleId="Contents3">
    <w:name w:val="Contents 3"/>
    <w:qFormat/>
    <w:rPr>
      <w:rFonts w:ascii="XO Thames" w:hAnsi="XO Thames"/>
      <w:sz w:val="28"/>
    </w:rPr>
  </w:style>
  <w:style w:type="character" w:styleId="Header">
    <w:name w:val="Header"/>
    <w:qFormat/>
    <w:rPr/>
  </w:style>
  <w:style w:type="character" w:styleId="11">
    <w:name w:val="Гиперссылка1"/>
    <w:basedOn w:val="13"/>
    <w:link w:val="14"/>
    <w:qFormat/>
    <w:rPr>
      <w:color w:val="0563C1" w:themeColor="hyperlink"/>
      <w:u w:val="single"/>
    </w:rPr>
  </w:style>
  <w:style w:type="character" w:styleId="12">
    <w:name w:val="Обычный1"/>
    <w:link w:val="15"/>
    <w:qFormat/>
    <w:rPr/>
  </w:style>
  <w:style w:type="character" w:styleId="13">
    <w:name w:val="Основной шрифт абзаца1"/>
    <w:link w:val="16"/>
    <w:qFormat/>
    <w:rPr/>
  </w:style>
  <w:style w:type="character" w:styleId="Heading5">
    <w:name w:val="Heading 5"/>
    <w:qFormat/>
    <w:rPr>
      <w:rFonts w:ascii="XO Thames" w:hAnsi="XO Thames"/>
      <w:b/>
    </w:rPr>
  </w:style>
  <w:style w:type="character" w:styleId="Heading1">
    <w:name w:val="Heading 1"/>
    <w:qFormat/>
    <w:rPr>
      <w:rFonts w:ascii="XO Thames" w:hAnsi="XO Thames"/>
      <w:b/>
      <w:sz w:val="32"/>
    </w:rPr>
  </w:style>
  <w:style w:type="character" w:styleId="-">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PlainText">
    <w:name w:val="Plain Text"/>
    <w:link w:val="PlainText1"/>
    <w:qFormat/>
    <w:rPr>
      <w:rFonts w:ascii="Calibri" w:hAnsi="Calibri"/>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Footer">
    <w:name w:val="Footer"/>
    <w:qFormat/>
    <w:rPr>
      <w:rFonts w:ascii="Times New Roman" w:hAnsi="Times New Roman"/>
      <w:sz w:val="28"/>
    </w:rPr>
  </w:style>
  <w:style w:type="character" w:styleId="DefaultParagraphFont">
    <w:name w:val="Default Paragraph Font"/>
    <w:link w:val="DefaultParagraphFont1"/>
    <w:qFormat/>
    <w:rPr/>
  </w:style>
  <w:style w:type="paragraph" w:styleId="Style9">
    <w:name w:val="Заголовок"/>
    <w:basedOn w:val="Normal"/>
    <w:next w:val="Style10"/>
    <w:qFormat/>
    <w:pPr>
      <w:keepNext w:val="true"/>
      <w:spacing w:before="240" w:after="120"/>
    </w:pPr>
    <w:rPr>
      <w:rFonts w:ascii="Times New Roman" w:hAnsi="Times New Roman"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Times New Roman" w:hAnsi="Times New Roman" w:cs="Arial"/>
    </w:rPr>
  </w:style>
  <w:style w:type="paragraph" w:styleId="Style12">
    <w:name w:val="Caption"/>
    <w:basedOn w:val="Normal"/>
    <w:qFormat/>
    <w:pPr>
      <w:suppressLineNumbers/>
      <w:spacing w:before="120" w:after="120"/>
    </w:pPr>
    <w:rPr>
      <w:rFonts w:ascii="Times New Roman" w:hAnsi="Times New Roman" w:cs="Arial"/>
      <w:i/>
      <w:iCs/>
      <w:sz w:val="24"/>
      <w:szCs w:val="24"/>
    </w:rPr>
  </w:style>
  <w:style w:type="paragraph" w:styleId="Style13">
    <w:name w:val="Указатель"/>
    <w:basedOn w:val="Normal"/>
    <w:qFormat/>
    <w:pPr>
      <w:suppressLineNumbers/>
    </w:pPr>
    <w:rPr>
      <w:rFonts w:ascii="Times New Roman" w:hAnsi="Times New Roman" w:cs="Arial"/>
    </w:rPr>
  </w:style>
  <w:style w:type="paragraph" w:styleId="23">
    <w:name w:val="TOC 2"/>
    <w:next w:val="Normal"/>
    <w:uiPriority w:val="39"/>
    <w:pPr>
      <w:widowControl/>
      <w:bidi w:val="0"/>
      <w:spacing w:lineRule="auto" w:line="264" w:before="0" w:after="160"/>
      <w:ind w:left="200" w:right="0" w:hanging="0"/>
      <w:jc w:val="left"/>
    </w:pPr>
    <w:rPr>
      <w:rFonts w:ascii="XO Thames" w:hAnsi="XO Thames" w:eastAsia="NSimSun" w:cs="Arial"/>
      <w:color w:val="000000"/>
      <w:spacing w:val="0"/>
      <w:kern w:val="0"/>
      <w:sz w:val="28"/>
      <w:szCs w:val="20"/>
      <w:lang w:val="ru-RU" w:eastAsia="zh-CN" w:bidi="hi-IN"/>
    </w:rPr>
  </w:style>
  <w:style w:type="paragraph" w:styleId="41">
    <w:name w:val="TOC 4"/>
    <w:next w:val="Normal"/>
    <w:uiPriority w:val="39"/>
    <w:pPr>
      <w:widowControl/>
      <w:bidi w:val="0"/>
      <w:spacing w:lineRule="auto" w:line="264" w:before="0" w:after="160"/>
      <w:ind w:left="60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uiPriority w:val="39"/>
    <w:pPr>
      <w:widowControl/>
      <w:bidi w:val="0"/>
      <w:spacing w:lineRule="auto" w:line="264" w:before="0" w:after="16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bidi w:val="0"/>
      <w:spacing w:lineRule="auto" w:line="264" w:before="0" w:after="160"/>
      <w:ind w:left="1200" w:right="0" w:hanging="0"/>
      <w:jc w:val="left"/>
    </w:pPr>
    <w:rPr>
      <w:rFonts w:ascii="XO Thames" w:hAnsi="XO Thames" w:eastAsia="NSimSun" w:cs="Arial"/>
      <w:color w:val="000000"/>
      <w:spacing w:val="0"/>
      <w:kern w:val="0"/>
      <w:sz w:val="28"/>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Endnote1">
    <w:name w:val="Endnote"/>
    <w:link w:val="Endnote"/>
    <w:qFormat/>
    <w:pPr>
      <w:widowControl/>
      <w:bidi w:val="0"/>
      <w:spacing w:lineRule="auto" w:line="264" w:before="0" w:after="160"/>
      <w:ind w:left="0" w:right="0" w:firstLine="851"/>
      <w:jc w:val="both"/>
    </w:pPr>
    <w:rPr>
      <w:rFonts w:ascii="XO Thames" w:hAnsi="XO Thames" w:eastAsia="NSimSun" w:cs="Arial"/>
      <w:color w:val="000000"/>
      <w:spacing w:val="0"/>
      <w:kern w:val="0"/>
      <w:sz w:val="22"/>
      <w:szCs w:val="20"/>
      <w:lang w:val="ru-RU" w:eastAsia="zh-CN" w:bidi="hi-IN"/>
    </w:rPr>
  </w:style>
  <w:style w:type="paragraph" w:styleId="24">
    <w:name w:val="Гиперссылка2"/>
    <w:link w:val="21"/>
    <w:qFormat/>
    <w:pPr>
      <w:widowControl/>
      <w:bidi w:val="0"/>
      <w:spacing w:lineRule="auto" w:line="264" w:before="0" w:after="160"/>
      <w:ind w:left="0" w:right="0" w:hanging="0"/>
      <w:jc w:val="left"/>
    </w:pPr>
    <w:rPr>
      <w:rFonts w:ascii="Calibri" w:hAnsi="Calibri" w:eastAsia="NSimSun" w:cs="Arial"/>
      <w:color w:val="0000FF"/>
      <w:spacing w:val="0"/>
      <w:kern w:val="0"/>
      <w:sz w:val="22"/>
      <w:szCs w:val="20"/>
      <w:u w:val="single"/>
      <w:lang w:val="ru-RU" w:eastAsia="zh-CN" w:bidi="hi-IN"/>
    </w:rPr>
  </w:style>
  <w:style w:type="paragraph" w:styleId="25">
    <w:name w:val="Основной шрифт абзаца2"/>
    <w:link w:val="22"/>
    <w:qFormat/>
    <w:pPr>
      <w:widowControl/>
      <w:bidi w:val="0"/>
      <w:spacing w:lineRule="auto" w:line="264" w:before="0" w:after="16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31">
    <w:name w:val="TOC 3"/>
    <w:next w:val="Normal"/>
    <w:uiPriority w:val="39"/>
    <w:pPr>
      <w:widowControl/>
      <w:bidi w:val="0"/>
      <w:spacing w:lineRule="auto" w:line="264" w:before="0" w:after="160"/>
      <w:ind w:left="400" w:right="0" w:hanging="0"/>
      <w:jc w:val="left"/>
    </w:pPr>
    <w:rPr>
      <w:rFonts w:ascii="XO Thames" w:hAnsi="XO Thames" w:eastAsia="NSimSun" w:cs="Arial"/>
      <w:color w:val="000000"/>
      <w:spacing w:val="0"/>
      <w:kern w:val="0"/>
      <w:sz w:val="28"/>
      <w:szCs w:val="20"/>
      <w:lang w:val="ru-RU" w:eastAsia="zh-CN" w:bidi="hi-IN"/>
    </w:rPr>
  </w:style>
  <w:style w:type="paragraph" w:styleId="Style14">
    <w:name w:val="Колонтитул"/>
    <w:qFormat/>
    <w:pPr>
      <w:widowControl/>
      <w:bidi w:val="0"/>
      <w:spacing w:lineRule="auto" w:line="240" w:before="0" w:after="160"/>
      <w:ind w:left="0" w:right="0" w:hanging="0"/>
      <w:jc w:val="both"/>
    </w:pPr>
    <w:rPr>
      <w:rFonts w:ascii="XO Thames" w:hAnsi="XO Thames" w:eastAsia="NSimSun" w:cs="Arial"/>
      <w:color w:val="000000"/>
      <w:spacing w:val="0"/>
      <w:kern w:val="0"/>
      <w:sz w:val="20"/>
      <w:szCs w:val="20"/>
      <w:lang w:val="ru-RU" w:eastAsia="zh-CN" w:bidi="hi-IN"/>
    </w:rPr>
  </w:style>
  <w:style w:type="paragraph" w:styleId="Style15">
    <w:name w:val="Header"/>
    <w:basedOn w:val="Normal"/>
    <w:pPr>
      <w:tabs>
        <w:tab w:val="clear" w:pos="708"/>
        <w:tab w:val="center" w:pos="4677" w:leader="none"/>
        <w:tab w:val="right" w:pos="9355" w:leader="none"/>
      </w:tabs>
      <w:spacing w:lineRule="auto" w:line="240" w:before="0" w:after="0"/>
    </w:pPr>
    <w:rPr/>
  </w:style>
  <w:style w:type="paragraph" w:styleId="14">
    <w:name w:val="Гиперссылка1"/>
    <w:basedOn w:val="16"/>
    <w:link w:val="11"/>
    <w:qFormat/>
    <w:pPr/>
    <w:rPr>
      <w:color w:val="0563C1" w:themeColor="hyperlink"/>
      <w:u w:val="single"/>
    </w:rPr>
  </w:style>
  <w:style w:type="paragraph" w:styleId="15">
    <w:name w:val="Обычный1"/>
    <w:link w:val="12"/>
    <w:qFormat/>
    <w:pPr>
      <w:widowControl/>
      <w:bidi w:val="0"/>
      <w:spacing w:lineRule="auto" w:line="264" w:before="0" w:after="16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16">
    <w:name w:val="Основной шрифт абзаца1"/>
    <w:link w:val="13"/>
    <w:qFormat/>
    <w:pPr>
      <w:widowControl/>
      <w:bidi w:val="0"/>
      <w:spacing w:lineRule="auto" w:line="264" w:before="0" w:after="16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Internetlink">
    <w:name w:val="Internet link"/>
    <w:qFormat/>
    <w:pPr>
      <w:widowControl/>
      <w:bidi w:val="0"/>
      <w:spacing w:lineRule="auto" w:line="264" w:before="0" w:after="160"/>
      <w:ind w:left="0" w:right="0" w:hanging="0"/>
      <w:jc w:val="left"/>
    </w:pPr>
    <w:rPr>
      <w:rFonts w:ascii="Calibri" w:hAnsi="Calibri" w:eastAsia="NSimSun" w:cs="Arial"/>
      <w:color w:val="0000FF"/>
      <w:spacing w:val="0"/>
      <w:kern w:val="0"/>
      <w:sz w:val="22"/>
      <w:szCs w:val="20"/>
      <w:u w:val="single"/>
      <w:lang w:val="ru-RU" w:eastAsia="zh-CN" w:bidi="hi-IN"/>
    </w:rPr>
  </w:style>
  <w:style w:type="paragraph" w:styleId="Footnote1">
    <w:name w:val="Footnote"/>
    <w:link w:val="Footnote"/>
    <w:qFormat/>
    <w:pPr>
      <w:widowControl/>
      <w:bidi w:val="0"/>
      <w:spacing w:lineRule="auto" w:line="264" w:before="0" w:after="160"/>
      <w:ind w:left="0" w:right="0" w:firstLine="851"/>
      <w:jc w:val="both"/>
    </w:pPr>
    <w:rPr>
      <w:rFonts w:ascii="XO Thames" w:hAnsi="XO Thames" w:eastAsia="NSimSun" w:cs="Arial"/>
      <w:color w:val="000000"/>
      <w:spacing w:val="0"/>
      <w:kern w:val="0"/>
      <w:sz w:val="22"/>
      <w:szCs w:val="20"/>
      <w:lang w:val="ru-RU" w:eastAsia="zh-CN" w:bidi="hi-IN"/>
    </w:rPr>
  </w:style>
  <w:style w:type="paragraph" w:styleId="17">
    <w:name w:val="TOC 1"/>
    <w:next w:val="Normal"/>
    <w:uiPriority w:val="39"/>
    <w:pPr>
      <w:widowControl/>
      <w:bidi w:val="0"/>
      <w:spacing w:lineRule="auto" w:line="264" w:before="0" w:after="160"/>
      <w:ind w:left="0" w:right="0" w:hanging="0"/>
      <w:jc w:val="left"/>
    </w:pPr>
    <w:rPr>
      <w:rFonts w:ascii="XO Thames" w:hAnsi="XO Thames" w:eastAsia="NSimSun" w:cs="Arial"/>
      <w:b/>
      <w:color w:val="000000"/>
      <w:spacing w:val="0"/>
      <w:kern w:val="0"/>
      <w:sz w:val="28"/>
      <w:szCs w:val="20"/>
      <w:lang w:val="ru-RU" w:eastAsia="zh-CN" w:bidi="hi-IN"/>
    </w:rPr>
  </w:style>
  <w:style w:type="paragraph" w:styleId="9">
    <w:name w:val="TOC 9"/>
    <w:next w:val="Normal"/>
    <w:uiPriority w:val="39"/>
    <w:pPr>
      <w:widowControl/>
      <w:bidi w:val="0"/>
      <w:spacing w:lineRule="auto" w:line="264" w:before="0" w:after="16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uiPriority w:val="39"/>
    <w:pPr>
      <w:widowControl/>
      <w:bidi w:val="0"/>
      <w:spacing w:lineRule="auto" w:line="264" w:before="0" w:after="160"/>
      <w:ind w:left="1400" w:right="0" w:hanging="0"/>
      <w:jc w:val="left"/>
    </w:pPr>
    <w:rPr>
      <w:rFonts w:ascii="XO Thames" w:hAnsi="XO Thames" w:eastAsia="NSimSun" w:cs="Arial"/>
      <w:color w:val="000000"/>
      <w:spacing w:val="0"/>
      <w:kern w:val="0"/>
      <w:sz w:val="28"/>
      <w:szCs w:val="20"/>
      <w:lang w:val="ru-RU" w:eastAsia="zh-CN" w:bidi="hi-IN"/>
    </w:rPr>
  </w:style>
  <w:style w:type="paragraph" w:styleId="51">
    <w:name w:val="TOC 5"/>
    <w:next w:val="Normal"/>
    <w:uiPriority w:val="39"/>
    <w:pPr>
      <w:widowControl/>
      <w:bidi w:val="0"/>
      <w:spacing w:lineRule="auto" w:line="264" w:before="0" w:after="160"/>
      <w:ind w:left="800" w:right="0" w:hanging="0"/>
      <w:jc w:val="left"/>
    </w:pPr>
    <w:rPr>
      <w:rFonts w:ascii="XO Thames" w:hAnsi="XO Thames" w:eastAsia="NSimSun" w:cs="Arial"/>
      <w:color w:val="000000"/>
      <w:spacing w:val="0"/>
      <w:kern w:val="0"/>
      <w:sz w:val="28"/>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Style16">
    <w:name w:val="Subtitle"/>
    <w:next w:val="Normal"/>
    <w:uiPriority w:val="11"/>
    <w:qFormat/>
    <w:pPr>
      <w:widowControl/>
      <w:bidi w:val="0"/>
      <w:spacing w:lineRule="auto" w:line="264" w:before="0" w:after="160"/>
      <w:ind w:left="0" w:right="0" w:hanging="0"/>
      <w:jc w:val="both"/>
    </w:pPr>
    <w:rPr>
      <w:rFonts w:ascii="XO Thames" w:hAnsi="XO Thames" w:eastAsia="NSimSun" w:cs="Arial"/>
      <w:i/>
      <w:color w:val="000000"/>
      <w:spacing w:val="0"/>
      <w:kern w:val="0"/>
      <w:sz w:val="24"/>
      <w:szCs w:val="20"/>
      <w:lang w:val="ru-RU" w:eastAsia="zh-CN" w:bidi="hi-IN"/>
    </w:rPr>
  </w:style>
  <w:style w:type="paragraph" w:styleId="Style17">
    <w:name w:val="Title"/>
    <w:next w:val="Normal"/>
    <w:uiPriority w:val="10"/>
    <w:qFormat/>
    <w:pPr>
      <w:widowControl/>
      <w:bidi w:val="0"/>
      <w:spacing w:lineRule="auto" w:line="264"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Style18">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
    <w:link w:val="DefaultParagraphFont"/>
    <w:qFormat/>
    <w:pPr>
      <w:widowControl/>
      <w:bidi w:val="0"/>
      <w:spacing w:lineRule="auto" w:line="264" w:before="0" w:after="16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Style19">
    <w:name w:val="Содержимое врезки"/>
    <w:basedOn w:val="Normal"/>
    <w:qFormat/>
    <w:pPr/>
    <w:rPr/>
  </w:style>
  <w:style w:type="paragraph" w:styleId="Style20">
    <w:name w:val="Содержимое таблицы"/>
    <w:basedOn w:val="Normal"/>
    <w:qFormat/>
    <w:pPr>
      <w:widowControl w:val="false"/>
      <w:suppressLineNumbers/>
    </w:pPr>
    <w:rPr/>
  </w:style>
  <w:style w:type="table" w:styleId="Style_34">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5">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 w:type="table" w:styleId="Style_36">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LibreOffice/7.5.3.2$Windows_X86_64 LibreOffice_project/9f56dff12ba03b9acd7730a5a481eea045e468f3</Application>
  <AppVersion>15.0000</AppVersion>
  <Pages>6</Pages>
  <Words>1459</Words>
  <Characters>12163</Characters>
  <CharactersWithSpaces>13555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2023-10-06T15:03:28Z</dcterms:modified>
  <cp:revision>4</cp:revision>
  <dc:subject/>
  <dc:title/>
</cp:coreProperties>
</file>