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9F" w:rsidRDefault="00AB489F" w:rsidP="00AB489F">
      <w:pPr>
        <w:ind w:firstLine="708"/>
        <w:jc w:val="center"/>
        <w:rPr>
          <w:b/>
          <w:szCs w:val="28"/>
        </w:rPr>
      </w:pPr>
      <w:r w:rsidRPr="00AB489F">
        <w:rPr>
          <w:b/>
          <w:szCs w:val="28"/>
        </w:rPr>
        <w:t xml:space="preserve">Информация </w:t>
      </w:r>
      <w:r w:rsidR="00B45BD2">
        <w:rPr>
          <w:b/>
          <w:szCs w:val="28"/>
        </w:rPr>
        <w:t xml:space="preserve">Министерства социального развития и труда Камчатского края </w:t>
      </w:r>
      <w:bookmarkStart w:id="0" w:name="_GoBack"/>
      <w:bookmarkEnd w:id="0"/>
      <w:r w:rsidRPr="00AB489F">
        <w:rPr>
          <w:b/>
          <w:szCs w:val="28"/>
        </w:rPr>
        <w:t xml:space="preserve">об оказании государственной социальной помощи на основании </w:t>
      </w:r>
      <w:proofErr w:type="spellStart"/>
      <w:r w:rsidRPr="00AB489F">
        <w:rPr>
          <w:b/>
          <w:szCs w:val="28"/>
        </w:rPr>
        <w:t>соцконтракта</w:t>
      </w:r>
      <w:proofErr w:type="spellEnd"/>
      <w:r w:rsidRPr="00AB489F">
        <w:rPr>
          <w:b/>
          <w:szCs w:val="28"/>
        </w:rPr>
        <w:t xml:space="preserve"> в Камчатском крае</w:t>
      </w:r>
    </w:p>
    <w:p w:rsidR="00BA693F" w:rsidRDefault="00BA693F" w:rsidP="00AB489F">
      <w:pPr>
        <w:ind w:firstLine="708"/>
        <w:rPr>
          <w:szCs w:val="28"/>
        </w:rPr>
      </w:pPr>
    </w:p>
    <w:p w:rsidR="00AB489F" w:rsidRDefault="00AB489F" w:rsidP="00AB489F">
      <w:pPr>
        <w:ind w:firstLine="708"/>
        <w:rPr>
          <w:szCs w:val="28"/>
        </w:rPr>
      </w:pPr>
      <w:r>
        <w:rPr>
          <w:szCs w:val="28"/>
        </w:rPr>
        <w:t>С 2010 года в Камчатском крае оказание</w:t>
      </w:r>
      <w:r w:rsidRPr="006B5EFC">
        <w:rPr>
          <w:szCs w:val="28"/>
        </w:rPr>
        <w:t xml:space="preserve"> государственной социальной помощи малоимущим семьям и малоимущим одиноко проживающим гражданам </w:t>
      </w:r>
      <w:r w:rsidRPr="00AA6677">
        <w:t>(многодетным семьям, семьям одиноких матерей, семьям с детьми инвалидами, неполным семьям)</w:t>
      </w:r>
      <w:r>
        <w:t xml:space="preserve"> </w:t>
      </w:r>
      <w:r>
        <w:rPr>
          <w:szCs w:val="28"/>
        </w:rPr>
        <w:t xml:space="preserve">осуществляется, в том числе </w:t>
      </w:r>
      <w:r w:rsidRPr="006B5EFC">
        <w:rPr>
          <w:szCs w:val="28"/>
        </w:rPr>
        <w:t>на основе социального контракта</w:t>
      </w:r>
      <w:r>
        <w:rPr>
          <w:szCs w:val="28"/>
        </w:rPr>
        <w:t>.</w:t>
      </w:r>
      <w:r w:rsidRPr="006B5EFC">
        <w:rPr>
          <w:szCs w:val="28"/>
        </w:rPr>
        <w:t xml:space="preserve"> </w:t>
      </w:r>
    </w:p>
    <w:p w:rsidR="005345B1" w:rsidRDefault="005345B1" w:rsidP="005345B1">
      <w:pPr>
        <w:ind w:firstLine="708"/>
        <w:rPr>
          <w:szCs w:val="28"/>
        </w:rPr>
      </w:pPr>
      <w:r w:rsidRPr="00A40598">
        <w:rPr>
          <w:szCs w:val="28"/>
        </w:rPr>
        <w:t>Приказом Министерства социального развития и труда Камчатс</w:t>
      </w:r>
      <w:r>
        <w:rPr>
          <w:szCs w:val="28"/>
        </w:rPr>
        <w:t>кого края  от 31.10.2019 № 1314</w:t>
      </w:r>
      <w:r w:rsidRPr="00A40598">
        <w:rPr>
          <w:szCs w:val="28"/>
        </w:rPr>
        <w:t>–п утвержден Порядок оказания государственной социальной помощи малоимущим семьям и малоимущим одиноко проживающим гражданам на основе социального контракта (взамен приказа от 05.05.2011 № 156-п).</w:t>
      </w:r>
    </w:p>
    <w:p w:rsidR="00641574" w:rsidRDefault="00AB489F" w:rsidP="00AB489F">
      <w:pPr>
        <w:ind w:firstLine="708"/>
        <w:rPr>
          <w:szCs w:val="28"/>
        </w:rPr>
      </w:pPr>
      <w:r>
        <w:rPr>
          <w:szCs w:val="28"/>
        </w:rPr>
        <w:t>Государственная социальная помощь на основе социального контракта оказывается  малоимущим семьям (одиноко проживающим гражданам), которые по независящим от них причинам  имеют доход ниже величины прожиточного минимума, установленного Правительством Камчатского края для соответствующих  социально-демографических групп населения.</w:t>
      </w:r>
      <w:r w:rsidR="00641574">
        <w:rPr>
          <w:szCs w:val="28"/>
        </w:rPr>
        <w:t xml:space="preserve"> Прожиточный минимум по социально-демографическим группам населения устанавливается ежеквартально. </w:t>
      </w:r>
      <w:r w:rsidR="002E1722">
        <w:rPr>
          <w:szCs w:val="28"/>
        </w:rPr>
        <w:t>Например</w:t>
      </w:r>
      <w:r w:rsidR="00A023BB">
        <w:rPr>
          <w:szCs w:val="28"/>
        </w:rPr>
        <w:t>, п</w:t>
      </w:r>
      <w:r w:rsidR="005345B1">
        <w:rPr>
          <w:szCs w:val="28"/>
        </w:rPr>
        <w:t>ри решении вопроса об оказании  государственной помощи на основании социального контракта в</w:t>
      </w:r>
      <w:r w:rsidR="009060D8">
        <w:rPr>
          <w:szCs w:val="28"/>
        </w:rPr>
        <w:t>о</w:t>
      </w:r>
      <w:r w:rsidR="005345B1">
        <w:rPr>
          <w:szCs w:val="28"/>
        </w:rPr>
        <w:t xml:space="preserve"> </w:t>
      </w:r>
      <w:r w:rsidR="00641574">
        <w:rPr>
          <w:szCs w:val="28"/>
        </w:rPr>
        <w:t xml:space="preserve"> </w:t>
      </w:r>
      <w:r w:rsidR="009060D8">
        <w:rPr>
          <w:szCs w:val="28"/>
        </w:rPr>
        <w:t>2</w:t>
      </w:r>
      <w:r w:rsidR="00A023BB">
        <w:rPr>
          <w:szCs w:val="28"/>
        </w:rPr>
        <w:t xml:space="preserve"> </w:t>
      </w:r>
      <w:r w:rsidR="00641574">
        <w:rPr>
          <w:szCs w:val="28"/>
        </w:rPr>
        <w:t>квартале 20</w:t>
      </w:r>
      <w:r w:rsidR="00A023BB">
        <w:rPr>
          <w:szCs w:val="28"/>
        </w:rPr>
        <w:t>20</w:t>
      </w:r>
      <w:r w:rsidR="00641574">
        <w:rPr>
          <w:szCs w:val="28"/>
        </w:rPr>
        <w:t xml:space="preserve"> года </w:t>
      </w:r>
      <w:r w:rsidR="005345B1">
        <w:rPr>
          <w:szCs w:val="28"/>
        </w:rPr>
        <w:t>величина прожиточного минимума</w:t>
      </w:r>
      <w:r w:rsidR="005345B1" w:rsidRPr="005345B1">
        <w:rPr>
          <w:szCs w:val="28"/>
        </w:rPr>
        <w:t xml:space="preserve"> </w:t>
      </w:r>
      <w:r w:rsidR="005345B1">
        <w:rPr>
          <w:szCs w:val="28"/>
        </w:rPr>
        <w:t>применяется в следующих размерах</w:t>
      </w:r>
      <w:r w:rsidR="00641574">
        <w:rPr>
          <w:szCs w:val="28"/>
        </w:rPr>
        <w:t>:</w:t>
      </w:r>
    </w:p>
    <w:p w:rsidR="00641574" w:rsidRDefault="00641574" w:rsidP="00AB489F">
      <w:pPr>
        <w:ind w:firstLine="708"/>
        <w:rPr>
          <w:szCs w:val="28"/>
        </w:rPr>
      </w:pPr>
      <w:r>
        <w:rPr>
          <w:szCs w:val="28"/>
        </w:rPr>
        <w:t>- для трудоспособного населения 21 </w:t>
      </w:r>
      <w:r w:rsidR="009060D8">
        <w:rPr>
          <w:szCs w:val="28"/>
        </w:rPr>
        <w:t>796</w:t>
      </w:r>
      <w:r>
        <w:rPr>
          <w:szCs w:val="28"/>
        </w:rPr>
        <w:t>,0 рублей;</w:t>
      </w:r>
    </w:p>
    <w:p w:rsidR="00AB489F" w:rsidRDefault="00641574" w:rsidP="00AB489F">
      <w:pPr>
        <w:ind w:firstLine="708"/>
        <w:rPr>
          <w:szCs w:val="28"/>
        </w:rPr>
      </w:pPr>
      <w:r>
        <w:rPr>
          <w:szCs w:val="28"/>
        </w:rPr>
        <w:t>- для пенсионеров 16 </w:t>
      </w:r>
      <w:r w:rsidR="009060D8">
        <w:rPr>
          <w:szCs w:val="28"/>
        </w:rPr>
        <w:t>478</w:t>
      </w:r>
      <w:r>
        <w:rPr>
          <w:szCs w:val="28"/>
        </w:rPr>
        <w:t xml:space="preserve"> рублей</w:t>
      </w:r>
      <w:r w:rsidR="00237D33">
        <w:rPr>
          <w:szCs w:val="28"/>
        </w:rPr>
        <w:t>;</w:t>
      </w:r>
    </w:p>
    <w:p w:rsidR="00237D33" w:rsidRDefault="00237D33" w:rsidP="00AB489F">
      <w:pPr>
        <w:ind w:firstLine="708"/>
        <w:rPr>
          <w:szCs w:val="28"/>
        </w:rPr>
      </w:pPr>
      <w:r>
        <w:rPr>
          <w:szCs w:val="28"/>
        </w:rPr>
        <w:t>- для детей - 22 </w:t>
      </w:r>
      <w:r w:rsidR="009060D8">
        <w:rPr>
          <w:szCs w:val="28"/>
        </w:rPr>
        <w:t>326</w:t>
      </w:r>
      <w:r>
        <w:rPr>
          <w:szCs w:val="28"/>
        </w:rPr>
        <w:t xml:space="preserve"> рубль.</w:t>
      </w:r>
    </w:p>
    <w:p w:rsidR="00AB489F" w:rsidRDefault="00AB489F" w:rsidP="00AB489F">
      <w:pPr>
        <w:ind w:firstLine="708"/>
        <w:rPr>
          <w:szCs w:val="28"/>
        </w:rPr>
      </w:pPr>
      <w:r>
        <w:rPr>
          <w:szCs w:val="28"/>
        </w:rPr>
        <w:t>Социальный контракт – это договор о взаимных обязательствах, заключенный между гражданином и Министерством о предоставлении единовременной денежной выплат</w:t>
      </w:r>
      <w:r w:rsidR="007928D8">
        <w:rPr>
          <w:szCs w:val="28"/>
        </w:rPr>
        <w:t>ы</w:t>
      </w:r>
      <w:r>
        <w:rPr>
          <w:szCs w:val="28"/>
        </w:rPr>
        <w:t xml:space="preserve"> на определенные цели.</w:t>
      </w:r>
    </w:p>
    <w:p w:rsidR="005345B1" w:rsidRDefault="005345B1" w:rsidP="005345B1">
      <w:pPr>
        <w:ind w:firstLine="720"/>
        <w:rPr>
          <w:szCs w:val="28"/>
        </w:rPr>
      </w:pPr>
      <w:r>
        <w:rPr>
          <w:szCs w:val="28"/>
        </w:rPr>
        <w:t>Оказание государственной социальной помощи малоимущей семье (малоимущему одиноко проживающему гражданину) на основе социального контракта  осуществляется в виде материальной помощи:</w:t>
      </w:r>
    </w:p>
    <w:p w:rsidR="005345B1" w:rsidRDefault="005345B1" w:rsidP="005345B1">
      <w:pPr>
        <w:ind w:firstLine="720"/>
        <w:rPr>
          <w:szCs w:val="28"/>
        </w:rPr>
      </w:pPr>
      <w:r>
        <w:rPr>
          <w:szCs w:val="28"/>
        </w:rPr>
        <w:t>1) ежемесячного социального пособия;</w:t>
      </w:r>
    </w:p>
    <w:p w:rsidR="005345B1" w:rsidRDefault="005345B1" w:rsidP="005345B1">
      <w:pPr>
        <w:ind w:firstLine="720"/>
        <w:rPr>
          <w:szCs w:val="28"/>
        </w:rPr>
      </w:pPr>
      <w:r>
        <w:rPr>
          <w:szCs w:val="28"/>
        </w:rPr>
        <w:t>2) единовременной материальной помощи.</w:t>
      </w:r>
    </w:p>
    <w:p w:rsidR="005345B1" w:rsidRDefault="005345B1" w:rsidP="005345B1">
      <w:pPr>
        <w:ind w:firstLine="720"/>
        <w:rPr>
          <w:szCs w:val="28"/>
        </w:rPr>
      </w:pPr>
      <w:r>
        <w:rPr>
          <w:szCs w:val="28"/>
        </w:rPr>
        <w:t xml:space="preserve">В Камчатском крае оказание </w:t>
      </w:r>
      <w:r w:rsidR="00810E31">
        <w:rPr>
          <w:szCs w:val="28"/>
        </w:rPr>
        <w:t xml:space="preserve"> государственной помощи на основании социального контракта осуществляется  из сре</w:t>
      </w:r>
      <w:proofErr w:type="gramStart"/>
      <w:r w:rsidR="00810E31">
        <w:rPr>
          <w:szCs w:val="28"/>
        </w:rPr>
        <w:t>дств кр</w:t>
      </w:r>
      <w:proofErr w:type="gramEnd"/>
      <w:r w:rsidR="00810E31">
        <w:rPr>
          <w:szCs w:val="28"/>
        </w:rPr>
        <w:t>аевого бюджета</w:t>
      </w:r>
      <w:r w:rsidR="007928D8">
        <w:rPr>
          <w:szCs w:val="28"/>
        </w:rPr>
        <w:t>, предусмотренных</w:t>
      </w:r>
      <w:r w:rsidR="00810E31">
        <w:rPr>
          <w:szCs w:val="28"/>
        </w:rPr>
        <w:t xml:space="preserve"> на оказание материальной помощи гражданам, оказавшимся в трудной жизненной ситуации. При этом отдельное их выделение краевым бюджетом не предусмотрено.</w:t>
      </w:r>
    </w:p>
    <w:p w:rsidR="00EE2E38" w:rsidRDefault="00EE2E38" w:rsidP="00EE2E38">
      <w:pPr>
        <w:ind w:firstLine="720"/>
        <w:rPr>
          <w:szCs w:val="28"/>
        </w:rPr>
      </w:pPr>
      <w:proofErr w:type="gramStart"/>
      <w:r>
        <w:rPr>
          <w:szCs w:val="28"/>
        </w:rPr>
        <w:t>Вместе с тем, ограниченные возможности краевого бюджета и неуменьшающееся количество нуждающихся граждан</w:t>
      </w:r>
      <w:r w:rsidR="004C6528" w:rsidRPr="004C6528">
        <w:rPr>
          <w:szCs w:val="28"/>
        </w:rPr>
        <w:t xml:space="preserve"> </w:t>
      </w:r>
      <w:r w:rsidR="004C6528">
        <w:rPr>
          <w:szCs w:val="28"/>
        </w:rPr>
        <w:t>от 6 до 8 тыс. человек</w:t>
      </w:r>
      <w:r w:rsidR="007928D8">
        <w:rPr>
          <w:szCs w:val="28"/>
        </w:rPr>
        <w:t xml:space="preserve"> в год</w:t>
      </w:r>
      <w:r>
        <w:rPr>
          <w:szCs w:val="28"/>
        </w:rPr>
        <w:t xml:space="preserve">, обращающихся за оказанием материальной помощи, в настоящее время не позволяет увеличить средний размер выплат, в том числе выплачивать материальную помощь на основании социального контракта на </w:t>
      </w:r>
      <w:r>
        <w:rPr>
          <w:szCs w:val="28"/>
        </w:rPr>
        <w:lastRenderedPageBreak/>
        <w:t>регулярной основе</w:t>
      </w:r>
      <w:r w:rsidR="00731D43">
        <w:rPr>
          <w:szCs w:val="28"/>
        </w:rPr>
        <w:t xml:space="preserve">, </w:t>
      </w:r>
      <w:r w:rsidR="00AF2E56">
        <w:rPr>
          <w:szCs w:val="28"/>
        </w:rPr>
        <w:t xml:space="preserve"> реально </w:t>
      </w:r>
      <w:r w:rsidR="00731D43">
        <w:rPr>
          <w:szCs w:val="28"/>
        </w:rPr>
        <w:t xml:space="preserve">повысить уровень  дохода семей,  выйти им  из трудной жизненной ситуации на </w:t>
      </w:r>
      <w:proofErr w:type="spellStart"/>
      <w:r w:rsidR="00731D43">
        <w:rPr>
          <w:szCs w:val="28"/>
        </w:rPr>
        <w:t>самообеспечение</w:t>
      </w:r>
      <w:proofErr w:type="spellEnd"/>
      <w:r w:rsidR="00731D43">
        <w:rPr>
          <w:szCs w:val="28"/>
        </w:rPr>
        <w:t>.</w:t>
      </w:r>
      <w:proofErr w:type="gramEnd"/>
    </w:p>
    <w:p w:rsidR="00A72348" w:rsidRDefault="00A72348" w:rsidP="00A72348">
      <w:pPr>
        <w:ind w:firstLine="720"/>
        <w:rPr>
          <w:szCs w:val="28"/>
        </w:rPr>
      </w:pPr>
      <w:r w:rsidRPr="001537F8">
        <w:rPr>
          <w:szCs w:val="28"/>
        </w:rPr>
        <w:t xml:space="preserve">Ежегодно материальную  помощь получают более  </w:t>
      </w:r>
      <w:r>
        <w:rPr>
          <w:szCs w:val="28"/>
        </w:rPr>
        <w:t>7</w:t>
      </w:r>
      <w:r w:rsidRPr="001537F8">
        <w:rPr>
          <w:szCs w:val="28"/>
        </w:rPr>
        <w:t xml:space="preserve"> тысяч граждан, оказавшихся в трудной жизненной ситуации, </w:t>
      </w:r>
      <w:r>
        <w:rPr>
          <w:szCs w:val="28"/>
        </w:rPr>
        <w:t xml:space="preserve">в том числе </w:t>
      </w:r>
      <w:r w:rsidRPr="001537F8">
        <w:rPr>
          <w:szCs w:val="28"/>
        </w:rPr>
        <w:t>граждан</w:t>
      </w:r>
      <w:r>
        <w:rPr>
          <w:szCs w:val="28"/>
        </w:rPr>
        <w:t>е</w:t>
      </w:r>
      <w:r w:rsidRPr="001537F8">
        <w:rPr>
          <w:szCs w:val="28"/>
        </w:rPr>
        <w:t xml:space="preserve"> пожилого возраста</w:t>
      </w:r>
      <w:r>
        <w:rPr>
          <w:szCs w:val="28"/>
        </w:rPr>
        <w:t xml:space="preserve"> и семьи с детьми</w:t>
      </w:r>
      <w:r w:rsidRPr="001537F8">
        <w:rPr>
          <w:szCs w:val="28"/>
        </w:rPr>
        <w:t xml:space="preserve">. </w:t>
      </w:r>
      <w:r w:rsidR="00D353A3">
        <w:rPr>
          <w:szCs w:val="28"/>
        </w:rPr>
        <w:t xml:space="preserve"> В </w:t>
      </w:r>
      <w:r>
        <w:rPr>
          <w:szCs w:val="28"/>
        </w:rPr>
        <w:t>2019 год</w:t>
      </w:r>
      <w:r w:rsidR="00D353A3">
        <w:rPr>
          <w:szCs w:val="28"/>
        </w:rPr>
        <w:t>у</w:t>
      </w:r>
      <w:r>
        <w:rPr>
          <w:szCs w:val="28"/>
        </w:rPr>
        <w:t xml:space="preserve"> материальная помощь оказана  6 591  человеку, средний размер выплат составляет </w:t>
      </w:r>
      <w:r w:rsidR="007928D8">
        <w:rPr>
          <w:szCs w:val="28"/>
        </w:rPr>
        <w:t>12,6</w:t>
      </w:r>
      <w:r>
        <w:rPr>
          <w:szCs w:val="28"/>
        </w:rPr>
        <w:t xml:space="preserve"> тыс. рублей на  1 человека.</w:t>
      </w:r>
    </w:p>
    <w:p w:rsidR="00A72348" w:rsidRDefault="00A72348" w:rsidP="00A72348">
      <w:pPr>
        <w:rPr>
          <w:szCs w:val="28"/>
        </w:rPr>
      </w:pPr>
      <w:r>
        <w:rPr>
          <w:szCs w:val="28"/>
        </w:rPr>
        <w:tab/>
      </w:r>
      <w:r w:rsidRPr="005C6DA1">
        <w:rPr>
          <w:szCs w:val="28"/>
        </w:rPr>
        <w:t>В 201</w:t>
      </w:r>
      <w:r>
        <w:rPr>
          <w:szCs w:val="28"/>
        </w:rPr>
        <w:t>9</w:t>
      </w:r>
      <w:r w:rsidRPr="005C6DA1">
        <w:rPr>
          <w:szCs w:val="28"/>
        </w:rPr>
        <w:t xml:space="preserve"> году на эти цели </w:t>
      </w:r>
      <w:r>
        <w:rPr>
          <w:szCs w:val="28"/>
        </w:rPr>
        <w:t xml:space="preserve"> направлено 82,9 млн. рублей, на 2020 год </w:t>
      </w:r>
      <w:r w:rsidRPr="005C6DA1">
        <w:rPr>
          <w:szCs w:val="28"/>
        </w:rPr>
        <w:t xml:space="preserve">предусмотрено </w:t>
      </w:r>
      <w:r>
        <w:rPr>
          <w:szCs w:val="28"/>
        </w:rPr>
        <w:t xml:space="preserve">87,5 </w:t>
      </w:r>
      <w:r w:rsidRPr="004A3816">
        <w:rPr>
          <w:szCs w:val="28"/>
        </w:rPr>
        <w:t xml:space="preserve"> млн.</w:t>
      </w:r>
      <w:r w:rsidRPr="005C6DA1">
        <w:rPr>
          <w:szCs w:val="28"/>
        </w:rPr>
        <w:t xml:space="preserve"> руб.</w:t>
      </w:r>
    </w:p>
    <w:p w:rsidR="00AB489F" w:rsidRDefault="00AB489F" w:rsidP="00AB489F">
      <w:pPr>
        <w:ind w:firstLine="708"/>
        <w:rPr>
          <w:szCs w:val="28"/>
        </w:rPr>
      </w:pPr>
      <w:r w:rsidRPr="00C551D6">
        <w:rPr>
          <w:szCs w:val="28"/>
        </w:rPr>
        <w:t xml:space="preserve">Анализ </w:t>
      </w:r>
      <w:r>
        <w:rPr>
          <w:szCs w:val="28"/>
        </w:rPr>
        <w:t xml:space="preserve">предоставления государственной социальной помощи на основании </w:t>
      </w:r>
      <w:proofErr w:type="spellStart"/>
      <w:r>
        <w:rPr>
          <w:szCs w:val="28"/>
        </w:rPr>
        <w:t>соцконтракта</w:t>
      </w:r>
      <w:proofErr w:type="spellEnd"/>
      <w:r>
        <w:rPr>
          <w:szCs w:val="28"/>
        </w:rPr>
        <w:t xml:space="preserve">  </w:t>
      </w:r>
      <w:r w:rsidR="004C6528">
        <w:rPr>
          <w:szCs w:val="28"/>
        </w:rPr>
        <w:t xml:space="preserve">за период 2014-2019 г. </w:t>
      </w:r>
      <w:r>
        <w:rPr>
          <w:szCs w:val="28"/>
        </w:rPr>
        <w:t xml:space="preserve">представлен в </w:t>
      </w:r>
      <w:r w:rsidR="00A10FD0">
        <w:rPr>
          <w:szCs w:val="28"/>
        </w:rPr>
        <w:t>таблице</w:t>
      </w:r>
      <w:r>
        <w:rPr>
          <w:szCs w:val="28"/>
        </w:rPr>
        <w:t>.</w:t>
      </w:r>
    </w:p>
    <w:p w:rsidR="00AB489F" w:rsidRPr="00C551D6" w:rsidRDefault="00AB489F" w:rsidP="00AB489F">
      <w:pPr>
        <w:ind w:firstLine="708"/>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070"/>
        <w:gridCol w:w="943"/>
        <w:gridCol w:w="1060"/>
        <w:gridCol w:w="943"/>
        <w:gridCol w:w="876"/>
        <w:gridCol w:w="1067"/>
        <w:gridCol w:w="1067"/>
      </w:tblGrid>
      <w:tr w:rsidR="00DA42F2" w:rsidRPr="00184607" w:rsidTr="008D2D94">
        <w:trPr>
          <w:jc w:val="center"/>
        </w:trPr>
        <w:tc>
          <w:tcPr>
            <w:tcW w:w="2517" w:type="dxa"/>
            <w:shd w:val="clear" w:color="auto" w:fill="auto"/>
          </w:tcPr>
          <w:p w:rsidR="00DA42F2" w:rsidRPr="00184607" w:rsidRDefault="00DA42F2" w:rsidP="00A40598">
            <w:pPr>
              <w:ind w:firstLine="0"/>
              <w:jc w:val="center"/>
              <w:rPr>
                <w:b/>
                <w:sz w:val="22"/>
                <w:szCs w:val="22"/>
              </w:rPr>
            </w:pPr>
            <w:r w:rsidRPr="00184607">
              <w:rPr>
                <w:b/>
                <w:sz w:val="22"/>
                <w:szCs w:val="22"/>
              </w:rPr>
              <w:t>Параметры</w:t>
            </w:r>
          </w:p>
          <w:p w:rsidR="00DA42F2" w:rsidRPr="00184607" w:rsidRDefault="00DA42F2" w:rsidP="00A40598">
            <w:pPr>
              <w:jc w:val="center"/>
              <w:rPr>
                <w:b/>
                <w:sz w:val="22"/>
                <w:szCs w:val="22"/>
              </w:rPr>
            </w:pPr>
          </w:p>
        </w:tc>
        <w:tc>
          <w:tcPr>
            <w:tcW w:w="1070" w:type="dxa"/>
          </w:tcPr>
          <w:p w:rsidR="00DA42F2" w:rsidRDefault="00DA42F2" w:rsidP="00A40598">
            <w:pPr>
              <w:ind w:firstLine="0"/>
              <w:jc w:val="center"/>
              <w:rPr>
                <w:b/>
                <w:sz w:val="22"/>
                <w:szCs w:val="22"/>
              </w:rPr>
            </w:pPr>
            <w:r w:rsidRPr="00184607">
              <w:rPr>
                <w:b/>
                <w:sz w:val="22"/>
                <w:szCs w:val="22"/>
              </w:rPr>
              <w:t>2014</w:t>
            </w:r>
          </w:p>
          <w:p w:rsidR="00DA42F2" w:rsidRPr="00184607" w:rsidRDefault="00DA42F2" w:rsidP="00A40598">
            <w:pPr>
              <w:ind w:firstLine="0"/>
              <w:jc w:val="center"/>
              <w:rPr>
                <w:b/>
                <w:sz w:val="22"/>
                <w:szCs w:val="22"/>
              </w:rPr>
            </w:pPr>
            <w:r w:rsidRPr="00184607">
              <w:rPr>
                <w:b/>
                <w:sz w:val="22"/>
                <w:szCs w:val="22"/>
              </w:rPr>
              <w:t>год</w:t>
            </w:r>
          </w:p>
        </w:tc>
        <w:tc>
          <w:tcPr>
            <w:tcW w:w="943" w:type="dxa"/>
          </w:tcPr>
          <w:p w:rsidR="00DA42F2" w:rsidRDefault="00DA42F2" w:rsidP="00A40598">
            <w:pPr>
              <w:ind w:firstLine="0"/>
              <w:jc w:val="center"/>
              <w:rPr>
                <w:b/>
                <w:sz w:val="22"/>
                <w:szCs w:val="22"/>
              </w:rPr>
            </w:pPr>
            <w:r w:rsidRPr="00184607">
              <w:rPr>
                <w:b/>
                <w:sz w:val="22"/>
                <w:szCs w:val="22"/>
              </w:rPr>
              <w:t>2015</w:t>
            </w:r>
          </w:p>
          <w:p w:rsidR="00DA42F2" w:rsidRPr="00184607" w:rsidRDefault="00DA42F2" w:rsidP="00A40598">
            <w:pPr>
              <w:ind w:firstLine="0"/>
              <w:jc w:val="center"/>
              <w:rPr>
                <w:b/>
                <w:sz w:val="22"/>
                <w:szCs w:val="22"/>
              </w:rPr>
            </w:pPr>
            <w:r w:rsidRPr="00184607">
              <w:rPr>
                <w:b/>
                <w:sz w:val="22"/>
                <w:szCs w:val="22"/>
              </w:rPr>
              <w:t>год</w:t>
            </w:r>
          </w:p>
        </w:tc>
        <w:tc>
          <w:tcPr>
            <w:tcW w:w="1060" w:type="dxa"/>
          </w:tcPr>
          <w:p w:rsidR="00DA42F2" w:rsidRPr="00184607" w:rsidRDefault="00DA42F2" w:rsidP="00A40598">
            <w:pPr>
              <w:ind w:firstLine="0"/>
              <w:jc w:val="center"/>
              <w:rPr>
                <w:b/>
                <w:sz w:val="22"/>
                <w:szCs w:val="22"/>
              </w:rPr>
            </w:pPr>
            <w:r w:rsidRPr="00184607">
              <w:rPr>
                <w:b/>
                <w:sz w:val="22"/>
                <w:szCs w:val="22"/>
              </w:rPr>
              <w:t>2016 год</w:t>
            </w:r>
          </w:p>
        </w:tc>
        <w:tc>
          <w:tcPr>
            <w:tcW w:w="943" w:type="dxa"/>
          </w:tcPr>
          <w:p w:rsidR="00DA42F2" w:rsidRDefault="00DA42F2" w:rsidP="00A40598">
            <w:pPr>
              <w:ind w:firstLine="34"/>
              <w:jc w:val="center"/>
              <w:rPr>
                <w:b/>
                <w:sz w:val="22"/>
                <w:szCs w:val="22"/>
              </w:rPr>
            </w:pPr>
            <w:r w:rsidRPr="00184607">
              <w:rPr>
                <w:b/>
                <w:sz w:val="22"/>
                <w:szCs w:val="22"/>
              </w:rPr>
              <w:t>2017</w:t>
            </w:r>
          </w:p>
          <w:p w:rsidR="00DA42F2" w:rsidRPr="00184607" w:rsidRDefault="00DA42F2" w:rsidP="00A40598">
            <w:pPr>
              <w:ind w:firstLine="34"/>
              <w:jc w:val="center"/>
              <w:rPr>
                <w:b/>
                <w:sz w:val="22"/>
                <w:szCs w:val="22"/>
              </w:rPr>
            </w:pPr>
            <w:r w:rsidRPr="00184607">
              <w:rPr>
                <w:b/>
                <w:sz w:val="22"/>
                <w:szCs w:val="22"/>
              </w:rPr>
              <w:t>год</w:t>
            </w:r>
          </w:p>
        </w:tc>
        <w:tc>
          <w:tcPr>
            <w:tcW w:w="876" w:type="dxa"/>
          </w:tcPr>
          <w:p w:rsidR="00DA42F2" w:rsidRPr="00184607" w:rsidRDefault="00DA42F2" w:rsidP="00A40598">
            <w:pPr>
              <w:ind w:firstLine="34"/>
              <w:jc w:val="center"/>
              <w:rPr>
                <w:b/>
                <w:sz w:val="22"/>
                <w:szCs w:val="22"/>
              </w:rPr>
            </w:pPr>
            <w:r w:rsidRPr="00184607">
              <w:rPr>
                <w:b/>
                <w:sz w:val="22"/>
                <w:szCs w:val="22"/>
              </w:rPr>
              <w:t>2018 год</w:t>
            </w:r>
          </w:p>
        </w:tc>
        <w:tc>
          <w:tcPr>
            <w:tcW w:w="1067" w:type="dxa"/>
          </w:tcPr>
          <w:p w:rsidR="00DA42F2" w:rsidRDefault="00DA42F2" w:rsidP="00A40598">
            <w:pPr>
              <w:ind w:firstLine="0"/>
              <w:jc w:val="center"/>
              <w:rPr>
                <w:b/>
                <w:sz w:val="22"/>
                <w:szCs w:val="22"/>
              </w:rPr>
            </w:pPr>
            <w:r w:rsidRPr="00A40598">
              <w:rPr>
                <w:b/>
                <w:sz w:val="22"/>
                <w:szCs w:val="22"/>
              </w:rPr>
              <w:t>2019</w:t>
            </w:r>
          </w:p>
          <w:p w:rsidR="00DA42F2" w:rsidRPr="00AB489F" w:rsidRDefault="00DA42F2" w:rsidP="00FF065A">
            <w:pPr>
              <w:ind w:firstLine="0"/>
              <w:jc w:val="center"/>
              <w:rPr>
                <w:b/>
                <w:color w:val="FF0000"/>
                <w:sz w:val="22"/>
                <w:szCs w:val="22"/>
              </w:rPr>
            </w:pPr>
            <w:r w:rsidRPr="00A40598">
              <w:rPr>
                <w:b/>
                <w:sz w:val="22"/>
                <w:szCs w:val="22"/>
              </w:rPr>
              <w:t xml:space="preserve"> г</w:t>
            </w:r>
            <w:r>
              <w:rPr>
                <w:b/>
                <w:sz w:val="22"/>
                <w:szCs w:val="22"/>
              </w:rPr>
              <w:t>од</w:t>
            </w:r>
          </w:p>
        </w:tc>
        <w:tc>
          <w:tcPr>
            <w:tcW w:w="1067" w:type="dxa"/>
          </w:tcPr>
          <w:p w:rsidR="00DA42F2" w:rsidRPr="00A40598" w:rsidRDefault="00DA42F2" w:rsidP="00A40598">
            <w:pPr>
              <w:ind w:firstLine="0"/>
              <w:jc w:val="center"/>
              <w:rPr>
                <w:b/>
                <w:sz w:val="22"/>
                <w:szCs w:val="22"/>
              </w:rPr>
            </w:pPr>
            <w:r>
              <w:rPr>
                <w:b/>
                <w:sz w:val="22"/>
                <w:szCs w:val="22"/>
              </w:rPr>
              <w:t>1 кв. 2020 г.</w:t>
            </w:r>
          </w:p>
        </w:tc>
      </w:tr>
      <w:tr w:rsidR="00DA42F2" w:rsidRPr="00184607" w:rsidTr="008D2D94">
        <w:trPr>
          <w:trHeight w:val="509"/>
          <w:jc w:val="center"/>
        </w:trPr>
        <w:tc>
          <w:tcPr>
            <w:tcW w:w="2517" w:type="dxa"/>
            <w:shd w:val="clear" w:color="auto" w:fill="auto"/>
          </w:tcPr>
          <w:p w:rsidR="00DA42F2" w:rsidRPr="00184607" w:rsidRDefault="00DA42F2" w:rsidP="00ED0303">
            <w:pPr>
              <w:ind w:firstLine="0"/>
              <w:rPr>
                <w:sz w:val="22"/>
                <w:szCs w:val="22"/>
              </w:rPr>
            </w:pPr>
            <w:r>
              <w:rPr>
                <w:sz w:val="22"/>
                <w:szCs w:val="22"/>
              </w:rPr>
              <w:t>Количество получателей материальной помощи всего</w:t>
            </w:r>
          </w:p>
        </w:tc>
        <w:tc>
          <w:tcPr>
            <w:tcW w:w="1070" w:type="dxa"/>
            <w:vAlign w:val="center"/>
          </w:tcPr>
          <w:p w:rsidR="00DA42F2" w:rsidRDefault="00DA42F2" w:rsidP="00A12E54">
            <w:pPr>
              <w:ind w:hanging="4"/>
              <w:jc w:val="center"/>
              <w:rPr>
                <w:sz w:val="22"/>
                <w:szCs w:val="22"/>
              </w:rPr>
            </w:pPr>
            <w:r>
              <w:rPr>
                <w:sz w:val="22"/>
                <w:szCs w:val="22"/>
              </w:rPr>
              <w:t>6 236</w:t>
            </w:r>
          </w:p>
        </w:tc>
        <w:tc>
          <w:tcPr>
            <w:tcW w:w="943" w:type="dxa"/>
            <w:vAlign w:val="center"/>
          </w:tcPr>
          <w:p w:rsidR="00DA42F2" w:rsidRDefault="00DA42F2" w:rsidP="00A12E54">
            <w:pPr>
              <w:ind w:hanging="4"/>
              <w:jc w:val="center"/>
              <w:rPr>
                <w:sz w:val="22"/>
                <w:szCs w:val="22"/>
              </w:rPr>
            </w:pPr>
            <w:r>
              <w:rPr>
                <w:sz w:val="22"/>
                <w:szCs w:val="22"/>
              </w:rPr>
              <w:t>6 723</w:t>
            </w:r>
          </w:p>
        </w:tc>
        <w:tc>
          <w:tcPr>
            <w:tcW w:w="1060" w:type="dxa"/>
            <w:vAlign w:val="center"/>
          </w:tcPr>
          <w:p w:rsidR="00DA42F2" w:rsidRDefault="00DA42F2" w:rsidP="00A12E54">
            <w:pPr>
              <w:ind w:hanging="4"/>
              <w:jc w:val="center"/>
              <w:rPr>
                <w:sz w:val="22"/>
                <w:szCs w:val="22"/>
              </w:rPr>
            </w:pPr>
            <w:r>
              <w:rPr>
                <w:sz w:val="22"/>
                <w:szCs w:val="22"/>
              </w:rPr>
              <w:t>8 136</w:t>
            </w:r>
          </w:p>
        </w:tc>
        <w:tc>
          <w:tcPr>
            <w:tcW w:w="943" w:type="dxa"/>
            <w:vAlign w:val="center"/>
          </w:tcPr>
          <w:p w:rsidR="00DA42F2" w:rsidRDefault="00DA42F2" w:rsidP="00A12E54">
            <w:pPr>
              <w:ind w:hanging="4"/>
              <w:jc w:val="center"/>
              <w:rPr>
                <w:sz w:val="22"/>
                <w:szCs w:val="22"/>
              </w:rPr>
            </w:pPr>
            <w:r>
              <w:rPr>
                <w:sz w:val="22"/>
                <w:szCs w:val="22"/>
              </w:rPr>
              <w:t xml:space="preserve">7763 </w:t>
            </w:r>
          </w:p>
        </w:tc>
        <w:tc>
          <w:tcPr>
            <w:tcW w:w="876" w:type="dxa"/>
          </w:tcPr>
          <w:p w:rsidR="00DA42F2" w:rsidRDefault="00DA42F2" w:rsidP="00A12E54">
            <w:pPr>
              <w:ind w:hanging="4"/>
              <w:jc w:val="center"/>
              <w:rPr>
                <w:sz w:val="22"/>
                <w:szCs w:val="22"/>
              </w:rPr>
            </w:pPr>
          </w:p>
          <w:p w:rsidR="00DA42F2" w:rsidRDefault="00DA42F2" w:rsidP="00A12E54">
            <w:pPr>
              <w:ind w:hanging="4"/>
              <w:jc w:val="center"/>
              <w:rPr>
                <w:sz w:val="22"/>
                <w:szCs w:val="22"/>
              </w:rPr>
            </w:pPr>
            <w:r>
              <w:rPr>
                <w:sz w:val="22"/>
                <w:szCs w:val="22"/>
              </w:rPr>
              <w:t>7 421</w:t>
            </w:r>
          </w:p>
        </w:tc>
        <w:tc>
          <w:tcPr>
            <w:tcW w:w="1067" w:type="dxa"/>
            <w:vAlign w:val="center"/>
          </w:tcPr>
          <w:p w:rsidR="00DA42F2" w:rsidRPr="00A12E54" w:rsidRDefault="00DA42F2" w:rsidP="00A40598">
            <w:pPr>
              <w:ind w:firstLine="0"/>
              <w:jc w:val="center"/>
              <w:rPr>
                <w:sz w:val="22"/>
                <w:szCs w:val="22"/>
              </w:rPr>
            </w:pPr>
            <w:r w:rsidRPr="00A12E54">
              <w:rPr>
                <w:sz w:val="22"/>
                <w:szCs w:val="22"/>
              </w:rPr>
              <w:t>6</w:t>
            </w:r>
            <w:r>
              <w:rPr>
                <w:sz w:val="22"/>
                <w:szCs w:val="22"/>
              </w:rPr>
              <w:t> </w:t>
            </w:r>
            <w:r w:rsidRPr="00A12E54">
              <w:rPr>
                <w:sz w:val="22"/>
                <w:szCs w:val="22"/>
              </w:rPr>
              <w:t>527</w:t>
            </w:r>
          </w:p>
        </w:tc>
        <w:tc>
          <w:tcPr>
            <w:tcW w:w="1067" w:type="dxa"/>
          </w:tcPr>
          <w:p w:rsidR="00DA42F2" w:rsidRDefault="00DA42F2" w:rsidP="00A40598">
            <w:pPr>
              <w:ind w:firstLine="0"/>
              <w:jc w:val="center"/>
              <w:rPr>
                <w:sz w:val="22"/>
                <w:szCs w:val="22"/>
              </w:rPr>
            </w:pPr>
          </w:p>
          <w:p w:rsidR="00DA42F2" w:rsidRPr="00A12E54" w:rsidRDefault="00DA42F2" w:rsidP="00A40598">
            <w:pPr>
              <w:ind w:firstLine="0"/>
              <w:jc w:val="center"/>
              <w:rPr>
                <w:sz w:val="22"/>
                <w:szCs w:val="22"/>
              </w:rPr>
            </w:pPr>
            <w:r>
              <w:rPr>
                <w:sz w:val="22"/>
                <w:szCs w:val="22"/>
              </w:rPr>
              <w:t>1041</w:t>
            </w:r>
          </w:p>
        </w:tc>
      </w:tr>
      <w:tr w:rsidR="00DA42F2" w:rsidRPr="00184607" w:rsidTr="008D2D94">
        <w:trPr>
          <w:trHeight w:val="687"/>
          <w:jc w:val="center"/>
        </w:trPr>
        <w:tc>
          <w:tcPr>
            <w:tcW w:w="2517" w:type="dxa"/>
            <w:shd w:val="clear" w:color="auto" w:fill="auto"/>
          </w:tcPr>
          <w:p w:rsidR="00DA42F2" w:rsidRPr="00184607" w:rsidRDefault="00DA42F2" w:rsidP="00ED0303">
            <w:pPr>
              <w:ind w:firstLine="0"/>
              <w:rPr>
                <w:sz w:val="22"/>
                <w:szCs w:val="22"/>
              </w:rPr>
            </w:pPr>
            <w:r>
              <w:rPr>
                <w:sz w:val="22"/>
                <w:szCs w:val="22"/>
              </w:rPr>
              <w:t xml:space="preserve">в </w:t>
            </w:r>
            <w:proofErr w:type="spellStart"/>
            <w:r>
              <w:rPr>
                <w:sz w:val="22"/>
                <w:szCs w:val="22"/>
              </w:rPr>
              <w:t>т.ч</w:t>
            </w:r>
            <w:proofErr w:type="spellEnd"/>
            <w:r>
              <w:rPr>
                <w:sz w:val="22"/>
                <w:szCs w:val="22"/>
              </w:rPr>
              <w:t>. к</w:t>
            </w:r>
            <w:r w:rsidRPr="00184607">
              <w:rPr>
                <w:sz w:val="22"/>
                <w:szCs w:val="22"/>
              </w:rPr>
              <w:t>оличество заключенных социальных контрактов (семей, граждан)</w:t>
            </w:r>
            <w:r>
              <w:rPr>
                <w:sz w:val="22"/>
                <w:szCs w:val="22"/>
              </w:rPr>
              <w:t>, всего, из них</w:t>
            </w:r>
          </w:p>
        </w:tc>
        <w:tc>
          <w:tcPr>
            <w:tcW w:w="1070" w:type="dxa"/>
            <w:vAlign w:val="center"/>
          </w:tcPr>
          <w:p w:rsidR="00DA42F2" w:rsidRPr="00184607" w:rsidRDefault="00DA42F2" w:rsidP="00A40598">
            <w:pPr>
              <w:ind w:firstLine="0"/>
              <w:jc w:val="center"/>
              <w:rPr>
                <w:sz w:val="22"/>
                <w:szCs w:val="22"/>
              </w:rPr>
            </w:pPr>
            <w:r w:rsidRPr="00184607">
              <w:rPr>
                <w:sz w:val="22"/>
                <w:szCs w:val="22"/>
              </w:rPr>
              <w:t>16</w:t>
            </w:r>
          </w:p>
        </w:tc>
        <w:tc>
          <w:tcPr>
            <w:tcW w:w="943" w:type="dxa"/>
            <w:vAlign w:val="center"/>
          </w:tcPr>
          <w:p w:rsidR="00DA42F2" w:rsidRPr="00184607" w:rsidRDefault="00DA42F2" w:rsidP="00A40598">
            <w:pPr>
              <w:ind w:firstLine="0"/>
              <w:jc w:val="center"/>
              <w:rPr>
                <w:sz w:val="22"/>
                <w:szCs w:val="22"/>
              </w:rPr>
            </w:pPr>
            <w:r w:rsidRPr="00184607">
              <w:rPr>
                <w:sz w:val="22"/>
                <w:szCs w:val="22"/>
              </w:rPr>
              <w:t>6</w:t>
            </w:r>
          </w:p>
        </w:tc>
        <w:tc>
          <w:tcPr>
            <w:tcW w:w="1060" w:type="dxa"/>
            <w:vAlign w:val="center"/>
          </w:tcPr>
          <w:p w:rsidR="00DA42F2" w:rsidRPr="00184607" w:rsidRDefault="00DA42F2" w:rsidP="00A40598">
            <w:pPr>
              <w:ind w:firstLine="0"/>
              <w:jc w:val="center"/>
              <w:rPr>
                <w:sz w:val="22"/>
                <w:szCs w:val="22"/>
              </w:rPr>
            </w:pPr>
            <w:r w:rsidRPr="00184607">
              <w:rPr>
                <w:sz w:val="22"/>
                <w:szCs w:val="22"/>
              </w:rPr>
              <w:t>5</w:t>
            </w:r>
          </w:p>
        </w:tc>
        <w:tc>
          <w:tcPr>
            <w:tcW w:w="943" w:type="dxa"/>
            <w:vAlign w:val="center"/>
          </w:tcPr>
          <w:p w:rsidR="00DA42F2" w:rsidRPr="00184607" w:rsidRDefault="00DA42F2" w:rsidP="00A40598">
            <w:pPr>
              <w:ind w:firstLine="0"/>
              <w:jc w:val="center"/>
              <w:rPr>
                <w:sz w:val="22"/>
                <w:szCs w:val="22"/>
              </w:rPr>
            </w:pPr>
            <w:r w:rsidRPr="00184607">
              <w:rPr>
                <w:sz w:val="22"/>
                <w:szCs w:val="22"/>
              </w:rPr>
              <w:t>6</w:t>
            </w:r>
          </w:p>
        </w:tc>
        <w:tc>
          <w:tcPr>
            <w:tcW w:w="876" w:type="dxa"/>
            <w:vAlign w:val="center"/>
          </w:tcPr>
          <w:p w:rsidR="00DA42F2" w:rsidRPr="00184607" w:rsidRDefault="00DA42F2" w:rsidP="00A40598">
            <w:pPr>
              <w:ind w:firstLine="0"/>
              <w:jc w:val="center"/>
              <w:rPr>
                <w:sz w:val="22"/>
                <w:szCs w:val="22"/>
              </w:rPr>
            </w:pPr>
            <w:r w:rsidRPr="00184607">
              <w:rPr>
                <w:sz w:val="22"/>
                <w:szCs w:val="22"/>
              </w:rPr>
              <w:t>108</w:t>
            </w:r>
          </w:p>
        </w:tc>
        <w:tc>
          <w:tcPr>
            <w:tcW w:w="1067" w:type="dxa"/>
            <w:vAlign w:val="center"/>
          </w:tcPr>
          <w:p w:rsidR="00DA42F2" w:rsidRPr="00A40598" w:rsidRDefault="00DA42F2" w:rsidP="00FF065A">
            <w:pPr>
              <w:ind w:firstLine="0"/>
              <w:jc w:val="center"/>
              <w:rPr>
                <w:sz w:val="22"/>
                <w:szCs w:val="22"/>
              </w:rPr>
            </w:pPr>
            <w:r w:rsidRPr="00A40598">
              <w:rPr>
                <w:sz w:val="22"/>
                <w:szCs w:val="22"/>
              </w:rPr>
              <w:t>7</w:t>
            </w:r>
            <w:r>
              <w:rPr>
                <w:sz w:val="22"/>
                <w:szCs w:val="22"/>
              </w:rPr>
              <w:t>6</w:t>
            </w:r>
          </w:p>
        </w:tc>
        <w:tc>
          <w:tcPr>
            <w:tcW w:w="1067" w:type="dxa"/>
          </w:tcPr>
          <w:p w:rsidR="00DA42F2" w:rsidRDefault="00DA42F2" w:rsidP="00FF065A">
            <w:pPr>
              <w:ind w:firstLine="0"/>
              <w:jc w:val="center"/>
              <w:rPr>
                <w:sz w:val="22"/>
                <w:szCs w:val="22"/>
              </w:rPr>
            </w:pPr>
          </w:p>
          <w:p w:rsidR="00DA42F2" w:rsidRDefault="00DA42F2" w:rsidP="00FF065A">
            <w:pPr>
              <w:ind w:firstLine="0"/>
              <w:jc w:val="center"/>
              <w:rPr>
                <w:sz w:val="22"/>
                <w:szCs w:val="22"/>
              </w:rPr>
            </w:pPr>
          </w:p>
          <w:p w:rsidR="00DA42F2" w:rsidRPr="00A40598" w:rsidRDefault="00DA42F2" w:rsidP="00FF065A">
            <w:pPr>
              <w:ind w:firstLine="0"/>
              <w:jc w:val="center"/>
              <w:rPr>
                <w:sz w:val="22"/>
                <w:szCs w:val="22"/>
              </w:rPr>
            </w:pPr>
            <w:r>
              <w:rPr>
                <w:sz w:val="22"/>
                <w:szCs w:val="22"/>
              </w:rPr>
              <w:t>19</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Pr>
                <w:sz w:val="22"/>
                <w:szCs w:val="22"/>
              </w:rPr>
              <w:t>пенсионеры, инвалиды</w:t>
            </w:r>
          </w:p>
        </w:tc>
        <w:tc>
          <w:tcPr>
            <w:tcW w:w="1070" w:type="dxa"/>
            <w:vAlign w:val="center"/>
          </w:tcPr>
          <w:p w:rsidR="00DA42F2" w:rsidRPr="00184607" w:rsidRDefault="00DA42F2" w:rsidP="00A40598">
            <w:pPr>
              <w:widowControl w:val="0"/>
              <w:ind w:firstLine="0"/>
              <w:jc w:val="center"/>
              <w:rPr>
                <w:sz w:val="22"/>
                <w:szCs w:val="22"/>
              </w:rPr>
            </w:pPr>
            <w:r>
              <w:rPr>
                <w:sz w:val="22"/>
                <w:szCs w:val="22"/>
              </w:rPr>
              <w:t>2</w:t>
            </w:r>
          </w:p>
        </w:tc>
        <w:tc>
          <w:tcPr>
            <w:tcW w:w="943" w:type="dxa"/>
            <w:vAlign w:val="center"/>
          </w:tcPr>
          <w:p w:rsidR="00DA42F2" w:rsidRPr="00184607" w:rsidRDefault="00DA42F2" w:rsidP="00A40598">
            <w:pPr>
              <w:widowControl w:val="0"/>
              <w:ind w:firstLine="0"/>
              <w:jc w:val="center"/>
              <w:rPr>
                <w:sz w:val="22"/>
                <w:szCs w:val="22"/>
              </w:rPr>
            </w:pPr>
            <w:r>
              <w:rPr>
                <w:sz w:val="22"/>
                <w:szCs w:val="22"/>
              </w:rPr>
              <w:t>1</w:t>
            </w:r>
          </w:p>
        </w:tc>
        <w:tc>
          <w:tcPr>
            <w:tcW w:w="1060" w:type="dxa"/>
            <w:vAlign w:val="center"/>
          </w:tcPr>
          <w:p w:rsidR="00DA42F2" w:rsidRPr="00184607" w:rsidRDefault="00DA42F2" w:rsidP="00A40598">
            <w:pPr>
              <w:widowControl w:val="0"/>
              <w:ind w:firstLine="0"/>
              <w:jc w:val="center"/>
              <w:rPr>
                <w:sz w:val="22"/>
                <w:szCs w:val="22"/>
              </w:rPr>
            </w:pPr>
            <w:r>
              <w:rPr>
                <w:sz w:val="22"/>
                <w:szCs w:val="22"/>
              </w:rPr>
              <w:t>-</w:t>
            </w:r>
          </w:p>
        </w:tc>
        <w:tc>
          <w:tcPr>
            <w:tcW w:w="943" w:type="dxa"/>
            <w:vAlign w:val="center"/>
          </w:tcPr>
          <w:p w:rsidR="00DA42F2" w:rsidRPr="00184607" w:rsidRDefault="00DA42F2" w:rsidP="00A40598">
            <w:pPr>
              <w:widowControl w:val="0"/>
              <w:ind w:firstLine="0"/>
              <w:jc w:val="center"/>
              <w:rPr>
                <w:sz w:val="22"/>
                <w:szCs w:val="22"/>
              </w:rPr>
            </w:pPr>
            <w:r>
              <w:rPr>
                <w:sz w:val="22"/>
                <w:szCs w:val="22"/>
              </w:rPr>
              <w:t>2</w:t>
            </w:r>
          </w:p>
        </w:tc>
        <w:tc>
          <w:tcPr>
            <w:tcW w:w="876" w:type="dxa"/>
            <w:vAlign w:val="center"/>
          </w:tcPr>
          <w:p w:rsidR="00DA42F2" w:rsidRPr="00184607" w:rsidRDefault="00DA42F2" w:rsidP="002851F2">
            <w:pPr>
              <w:widowControl w:val="0"/>
              <w:ind w:firstLine="0"/>
              <w:jc w:val="center"/>
              <w:rPr>
                <w:sz w:val="22"/>
                <w:szCs w:val="22"/>
              </w:rPr>
            </w:pPr>
            <w:r>
              <w:rPr>
                <w:sz w:val="22"/>
                <w:szCs w:val="22"/>
              </w:rPr>
              <w:t>1</w:t>
            </w:r>
          </w:p>
        </w:tc>
        <w:tc>
          <w:tcPr>
            <w:tcW w:w="1067" w:type="dxa"/>
            <w:vAlign w:val="center"/>
          </w:tcPr>
          <w:p w:rsidR="00DA42F2" w:rsidRPr="00A40598" w:rsidRDefault="00DA42F2" w:rsidP="00A40598">
            <w:pPr>
              <w:widowControl w:val="0"/>
              <w:ind w:firstLine="0"/>
              <w:jc w:val="center"/>
              <w:rPr>
                <w:sz w:val="22"/>
                <w:szCs w:val="22"/>
              </w:rPr>
            </w:pPr>
            <w:r>
              <w:rPr>
                <w:sz w:val="22"/>
                <w:szCs w:val="22"/>
              </w:rPr>
              <w:t>3</w:t>
            </w:r>
          </w:p>
        </w:tc>
        <w:tc>
          <w:tcPr>
            <w:tcW w:w="1067" w:type="dxa"/>
          </w:tcPr>
          <w:p w:rsidR="00DA42F2" w:rsidRDefault="00DA42F2" w:rsidP="00A40598">
            <w:pPr>
              <w:widowControl w:val="0"/>
              <w:ind w:firstLine="0"/>
              <w:jc w:val="center"/>
              <w:rPr>
                <w:sz w:val="22"/>
                <w:szCs w:val="22"/>
              </w:rPr>
            </w:pPr>
            <w:r>
              <w:rPr>
                <w:sz w:val="22"/>
                <w:szCs w:val="22"/>
              </w:rPr>
              <w:t>-</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Pr>
                <w:sz w:val="22"/>
                <w:szCs w:val="22"/>
              </w:rPr>
              <w:t>семьи с детьми</w:t>
            </w:r>
          </w:p>
        </w:tc>
        <w:tc>
          <w:tcPr>
            <w:tcW w:w="1070" w:type="dxa"/>
            <w:vAlign w:val="center"/>
          </w:tcPr>
          <w:p w:rsidR="00DA42F2" w:rsidRPr="00184607" w:rsidRDefault="00DA42F2" w:rsidP="00A40598">
            <w:pPr>
              <w:widowControl w:val="0"/>
              <w:ind w:firstLine="0"/>
              <w:jc w:val="center"/>
              <w:rPr>
                <w:sz w:val="22"/>
                <w:szCs w:val="22"/>
              </w:rPr>
            </w:pPr>
            <w:r>
              <w:rPr>
                <w:sz w:val="22"/>
                <w:szCs w:val="22"/>
              </w:rPr>
              <w:t>14</w:t>
            </w:r>
          </w:p>
        </w:tc>
        <w:tc>
          <w:tcPr>
            <w:tcW w:w="943" w:type="dxa"/>
            <w:vAlign w:val="center"/>
          </w:tcPr>
          <w:p w:rsidR="00DA42F2" w:rsidRPr="00184607" w:rsidRDefault="00DA42F2" w:rsidP="00A40598">
            <w:pPr>
              <w:widowControl w:val="0"/>
              <w:ind w:firstLine="0"/>
              <w:jc w:val="center"/>
              <w:rPr>
                <w:sz w:val="22"/>
                <w:szCs w:val="22"/>
              </w:rPr>
            </w:pPr>
            <w:r>
              <w:rPr>
                <w:sz w:val="22"/>
                <w:szCs w:val="22"/>
              </w:rPr>
              <w:t>5</w:t>
            </w:r>
          </w:p>
        </w:tc>
        <w:tc>
          <w:tcPr>
            <w:tcW w:w="1060" w:type="dxa"/>
            <w:vAlign w:val="center"/>
          </w:tcPr>
          <w:p w:rsidR="00DA42F2" w:rsidRPr="00184607" w:rsidRDefault="00DA42F2" w:rsidP="00A40598">
            <w:pPr>
              <w:widowControl w:val="0"/>
              <w:ind w:firstLine="0"/>
              <w:jc w:val="center"/>
              <w:rPr>
                <w:sz w:val="22"/>
                <w:szCs w:val="22"/>
              </w:rPr>
            </w:pPr>
            <w:r>
              <w:rPr>
                <w:sz w:val="22"/>
                <w:szCs w:val="22"/>
              </w:rPr>
              <w:t>5</w:t>
            </w:r>
          </w:p>
        </w:tc>
        <w:tc>
          <w:tcPr>
            <w:tcW w:w="943" w:type="dxa"/>
            <w:vAlign w:val="center"/>
          </w:tcPr>
          <w:p w:rsidR="00DA42F2" w:rsidRPr="00184607" w:rsidRDefault="00DA42F2" w:rsidP="00A40598">
            <w:pPr>
              <w:widowControl w:val="0"/>
              <w:ind w:firstLine="0"/>
              <w:jc w:val="center"/>
              <w:rPr>
                <w:sz w:val="22"/>
                <w:szCs w:val="22"/>
              </w:rPr>
            </w:pPr>
            <w:r>
              <w:rPr>
                <w:sz w:val="22"/>
                <w:szCs w:val="22"/>
              </w:rPr>
              <w:t>4</w:t>
            </w:r>
          </w:p>
        </w:tc>
        <w:tc>
          <w:tcPr>
            <w:tcW w:w="876" w:type="dxa"/>
            <w:vAlign w:val="center"/>
          </w:tcPr>
          <w:p w:rsidR="00DA42F2" w:rsidRPr="00184607" w:rsidRDefault="00DA42F2" w:rsidP="002851F2">
            <w:pPr>
              <w:widowControl w:val="0"/>
              <w:ind w:firstLine="0"/>
              <w:jc w:val="center"/>
              <w:rPr>
                <w:sz w:val="22"/>
                <w:szCs w:val="22"/>
              </w:rPr>
            </w:pPr>
            <w:r>
              <w:rPr>
                <w:sz w:val="22"/>
                <w:szCs w:val="22"/>
              </w:rPr>
              <w:t>11</w:t>
            </w:r>
          </w:p>
        </w:tc>
        <w:tc>
          <w:tcPr>
            <w:tcW w:w="1067" w:type="dxa"/>
            <w:vAlign w:val="center"/>
          </w:tcPr>
          <w:p w:rsidR="00DA42F2" w:rsidRPr="00A40598" w:rsidRDefault="00DA42F2" w:rsidP="00A40598">
            <w:pPr>
              <w:widowControl w:val="0"/>
              <w:ind w:firstLine="0"/>
              <w:jc w:val="center"/>
              <w:rPr>
                <w:sz w:val="22"/>
                <w:szCs w:val="22"/>
              </w:rPr>
            </w:pPr>
            <w:r>
              <w:rPr>
                <w:sz w:val="22"/>
                <w:szCs w:val="22"/>
              </w:rPr>
              <w:t>3</w:t>
            </w:r>
          </w:p>
        </w:tc>
        <w:tc>
          <w:tcPr>
            <w:tcW w:w="1067" w:type="dxa"/>
          </w:tcPr>
          <w:p w:rsidR="00DA42F2" w:rsidRDefault="00DA42F2" w:rsidP="00A40598">
            <w:pPr>
              <w:widowControl w:val="0"/>
              <w:ind w:firstLine="0"/>
              <w:jc w:val="center"/>
              <w:rPr>
                <w:sz w:val="22"/>
                <w:szCs w:val="22"/>
              </w:rPr>
            </w:pPr>
            <w:r>
              <w:rPr>
                <w:sz w:val="22"/>
                <w:szCs w:val="22"/>
              </w:rPr>
              <w:t>1</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Pr>
                <w:sz w:val="22"/>
                <w:szCs w:val="22"/>
              </w:rPr>
              <w:t>дети сироты и дети, оставшиеся без попечения родителей</w:t>
            </w:r>
          </w:p>
        </w:tc>
        <w:tc>
          <w:tcPr>
            <w:tcW w:w="1070" w:type="dxa"/>
            <w:vAlign w:val="center"/>
          </w:tcPr>
          <w:p w:rsidR="00DA42F2" w:rsidRPr="00184607" w:rsidRDefault="00DA42F2" w:rsidP="00A40598">
            <w:pPr>
              <w:widowControl w:val="0"/>
              <w:ind w:firstLine="0"/>
              <w:jc w:val="center"/>
              <w:rPr>
                <w:sz w:val="22"/>
                <w:szCs w:val="22"/>
              </w:rPr>
            </w:pPr>
            <w:r>
              <w:rPr>
                <w:sz w:val="22"/>
                <w:szCs w:val="22"/>
              </w:rPr>
              <w:t>-</w:t>
            </w:r>
          </w:p>
        </w:tc>
        <w:tc>
          <w:tcPr>
            <w:tcW w:w="943" w:type="dxa"/>
            <w:vAlign w:val="center"/>
          </w:tcPr>
          <w:p w:rsidR="00DA42F2" w:rsidRPr="00184607" w:rsidRDefault="00DA42F2" w:rsidP="00A40598">
            <w:pPr>
              <w:widowControl w:val="0"/>
              <w:ind w:firstLine="0"/>
              <w:jc w:val="center"/>
              <w:rPr>
                <w:sz w:val="22"/>
                <w:szCs w:val="22"/>
              </w:rPr>
            </w:pPr>
            <w:r>
              <w:rPr>
                <w:sz w:val="22"/>
                <w:szCs w:val="22"/>
              </w:rPr>
              <w:t>-</w:t>
            </w:r>
          </w:p>
        </w:tc>
        <w:tc>
          <w:tcPr>
            <w:tcW w:w="1060" w:type="dxa"/>
            <w:vAlign w:val="center"/>
          </w:tcPr>
          <w:p w:rsidR="00DA42F2" w:rsidRPr="00184607" w:rsidRDefault="00DA42F2" w:rsidP="00A40598">
            <w:pPr>
              <w:widowControl w:val="0"/>
              <w:ind w:firstLine="0"/>
              <w:jc w:val="center"/>
              <w:rPr>
                <w:sz w:val="22"/>
                <w:szCs w:val="22"/>
              </w:rPr>
            </w:pPr>
            <w:r>
              <w:rPr>
                <w:sz w:val="22"/>
                <w:szCs w:val="22"/>
              </w:rPr>
              <w:t>-</w:t>
            </w:r>
          </w:p>
        </w:tc>
        <w:tc>
          <w:tcPr>
            <w:tcW w:w="943" w:type="dxa"/>
            <w:vAlign w:val="center"/>
          </w:tcPr>
          <w:p w:rsidR="00DA42F2" w:rsidRPr="00184607" w:rsidRDefault="00DA42F2" w:rsidP="00A40598">
            <w:pPr>
              <w:widowControl w:val="0"/>
              <w:ind w:firstLine="0"/>
              <w:jc w:val="center"/>
              <w:rPr>
                <w:sz w:val="22"/>
                <w:szCs w:val="22"/>
              </w:rPr>
            </w:pPr>
            <w:r>
              <w:rPr>
                <w:sz w:val="22"/>
                <w:szCs w:val="22"/>
              </w:rPr>
              <w:t>-</w:t>
            </w:r>
          </w:p>
        </w:tc>
        <w:tc>
          <w:tcPr>
            <w:tcW w:w="876" w:type="dxa"/>
            <w:vAlign w:val="center"/>
          </w:tcPr>
          <w:p w:rsidR="00DA42F2" w:rsidRPr="00184607" w:rsidRDefault="00DA42F2" w:rsidP="002851F2">
            <w:pPr>
              <w:widowControl w:val="0"/>
              <w:ind w:firstLine="0"/>
              <w:jc w:val="center"/>
              <w:rPr>
                <w:sz w:val="22"/>
                <w:szCs w:val="22"/>
              </w:rPr>
            </w:pPr>
            <w:r>
              <w:rPr>
                <w:sz w:val="22"/>
                <w:szCs w:val="22"/>
              </w:rPr>
              <w:t>96</w:t>
            </w:r>
          </w:p>
        </w:tc>
        <w:tc>
          <w:tcPr>
            <w:tcW w:w="1067" w:type="dxa"/>
            <w:vAlign w:val="center"/>
          </w:tcPr>
          <w:p w:rsidR="00DA42F2" w:rsidRPr="00A40598" w:rsidRDefault="00DA42F2" w:rsidP="00A40598">
            <w:pPr>
              <w:widowControl w:val="0"/>
              <w:ind w:firstLine="0"/>
              <w:jc w:val="center"/>
              <w:rPr>
                <w:sz w:val="22"/>
                <w:szCs w:val="22"/>
              </w:rPr>
            </w:pPr>
            <w:r>
              <w:rPr>
                <w:sz w:val="22"/>
                <w:szCs w:val="22"/>
              </w:rPr>
              <w:t>67</w:t>
            </w:r>
          </w:p>
        </w:tc>
        <w:tc>
          <w:tcPr>
            <w:tcW w:w="1067" w:type="dxa"/>
          </w:tcPr>
          <w:p w:rsidR="00DA42F2" w:rsidRDefault="00DA42F2" w:rsidP="00A40598">
            <w:pPr>
              <w:widowControl w:val="0"/>
              <w:ind w:firstLine="0"/>
              <w:jc w:val="center"/>
              <w:rPr>
                <w:sz w:val="22"/>
                <w:szCs w:val="22"/>
              </w:rPr>
            </w:pPr>
          </w:p>
          <w:p w:rsidR="00DA42F2" w:rsidRDefault="00DA42F2" w:rsidP="00A40598">
            <w:pPr>
              <w:widowControl w:val="0"/>
              <w:ind w:firstLine="0"/>
              <w:jc w:val="center"/>
              <w:rPr>
                <w:sz w:val="22"/>
                <w:szCs w:val="22"/>
              </w:rPr>
            </w:pPr>
            <w:r>
              <w:rPr>
                <w:sz w:val="22"/>
                <w:szCs w:val="22"/>
              </w:rPr>
              <w:t>18</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Pr>
                <w:sz w:val="22"/>
                <w:szCs w:val="22"/>
              </w:rPr>
              <w:t>студенческие  семьи</w:t>
            </w:r>
          </w:p>
        </w:tc>
        <w:tc>
          <w:tcPr>
            <w:tcW w:w="1070" w:type="dxa"/>
            <w:vAlign w:val="center"/>
          </w:tcPr>
          <w:p w:rsidR="00DA42F2" w:rsidRPr="00184607" w:rsidRDefault="00DA42F2" w:rsidP="00A40598">
            <w:pPr>
              <w:widowControl w:val="0"/>
              <w:ind w:firstLine="0"/>
              <w:jc w:val="center"/>
              <w:rPr>
                <w:sz w:val="22"/>
                <w:szCs w:val="22"/>
              </w:rPr>
            </w:pPr>
            <w:r>
              <w:rPr>
                <w:sz w:val="22"/>
                <w:szCs w:val="22"/>
              </w:rPr>
              <w:t>-</w:t>
            </w:r>
          </w:p>
        </w:tc>
        <w:tc>
          <w:tcPr>
            <w:tcW w:w="943" w:type="dxa"/>
            <w:vAlign w:val="center"/>
          </w:tcPr>
          <w:p w:rsidR="00DA42F2" w:rsidRPr="00184607" w:rsidRDefault="00DA42F2" w:rsidP="00A40598">
            <w:pPr>
              <w:widowControl w:val="0"/>
              <w:ind w:firstLine="0"/>
              <w:jc w:val="center"/>
              <w:rPr>
                <w:sz w:val="22"/>
                <w:szCs w:val="22"/>
              </w:rPr>
            </w:pPr>
            <w:r>
              <w:rPr>
                <w:sz w:val="22"/>
                <w:szCs w:val="22"/>
              </w:rPr>
              <w:t>-</w:t>
            </w:r>
          </w:p>
        </w:tc>
        <w:tc>
          <w:tcPr>
            <w:tcW w:w="1060" w:type="dxa"/>
            <w:vAlign w:val="center"/>
          </w:tcPr>
          <w:p w:rsidR="00DA42F2" w:rsidRPr="00184607" w:rsidRDefault="00DA42F2" w:rsidP="00A12E54">
            <w:pPr>
              <w:widowControl w:val="0"/>
              <w:ind w:firstLine="0"/>
              <w:jc w:val="center"/>
              <w:rPr>
                <w:sz w:val="22"/>
                <w:szCs w:val="22"/>
              </w:rPr>
            </w:pPr>
            <w:r>
              <w:rPr>
                <w:sz w:val="22"/>
                <w:szCs w:val="22"/>
              </w:rPr>
              <w:t>-</w:t>
            </w:r>
          </w:p>
        </w:tc>
        <w:tc>
          <w:tcPr>
            <w:tcW w:w="943" w:type="dxa"/>
            <w:vAlign w:val="center"/>
          </w:tcPr>
          <w:p w:rsidR="00DA42F2" w:rsidRPr="00184607" w:rsidRDefault="00DA42F2" w:rsidP="00A40598">
            <w:pPr>
              <w:widowControl w:val="0"/>
              <w:ind w:firstLine="0"/>
              <w:jc w:val="center"/>
              <w:rPr>
                <w:sz w:val="22"/>
                <w:szCs w:val="22"/>
              </w:rPr>
            </w:pPr>
            <w:r>
              <w:rPr>
                <w:sz w:val="22"/>
                <w:szCs w:val="22"/>
              </w:rPr>
              <w:t>-</w:t>
            </w:r>
          </w:p>
        </w:tc>
        <w:tc>
          <w:tcPr>
            <w:tcW w:w="876" w:type="dxa"/>
            <w:vAlign w:val="center"/>
          </w:tcPr>
          <w:p w:rsidR="00DA42F2" w:rsidRPr="00184607" w:rsidRDefault="00DA42F2" w:rsidP="002851F2">
            <w:pPr>
              <w:widowControl w:val="0"/>
              <w:ind w:firstLine="0"/>
              <w:jc w:val="center"/>
              <w:rPr>
                <w:sz w:val="22"/>
                <w:szCs w:val="22"/>
              </w:rPr>
            </w:pPr>
            <w:r>
              <w:rPr>
                <w:sz w:val="22"/>
                <w:szCs w:val="22"/>
              </w:rPr>
              <w:t>-</w:t>
            </w:r>
          </w:p>
        </w:tc>
        <w:tc>
          <w:tcPr>
            <w:tcW w:w="1067" w:type="dxa"/>
            <w:vAlign w:val="center"/>
          </w:tcPr>
          <w:p w:rsidR="00DA42F2" w:rsidRPr="00A40598" w:rsidRDefault="00DA42F2" w:rsidP="00A40598">
            <w:pPr>
              <w:widowControl w:val="0"/>
              <w:ind w:firstLine="0"/>
              <w:jc w:val="center"/>
              <w:rPr>
                <w:sz w:val="22"/>
                <w:szCs w:val="22"/>
              </w:rPr>
            </w:pPr>
            <w:r>
              <w:rPr>
                <w:sz w:val="22"/>
                <w:szCs w:val="22"/>
              </w:rPr>
              <w:t>3</w:t>
            </w:r>
          </w:p>
        </w:tc>
        <w:tc>
          <w:tcPr>
            <w:tcW w:w="1067" w:type="dxa"/>
          </w:tcPr>
          <w:p w:rsidR="00DA42F2" w:rsidRDefault="00DA42F2" w:rsidP="00A40598">
            <w:pPr>
              <w:widowControl w:val="0"/>
              <w:ind w:firstLine="0"/>
              <w:jc w:val="center"/>
              <w:rPr>
                <w:sz w:val="22"/>
                <w:szCs w:val="22"/>
              </w:rPr>
            </w:pPr>
            <w:r>
              <w:rPr>
                <w:sz w:val="22"/>
                <w:szCs w:val="22"/>
              </w:rPr>
              <w:t>-</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sidRPr="00184607">
              <w:rPr>
                <w:sz w:val="22"/>
                <w:szCs w:val="22"/>
              </w:rPr>
              <w:t>Объем сре</w:t>
            </w:r>
            <w:proofErr w:type="gramStart"/>
            <w:r w:rsidRPr="00184607">
              <w:rPr>
                <w:sz w:val="22"/>
                <w:szCs w:val="22"/>
              </w:rPr>
              <w:t>дств кр</w:t>
            </w:r>
            <w:proofErr w:type="gramEnd"/>
            <w:r w:rsidRPr="00184607">
              <w:rPr>
                <w:sz w:val="22"/>
                <w:szCs w:val="22"/>
              </w:rPr>
              <w:t xml:space="preserve">аевого бюджета </w:t>
            </w:r>
            <w:r>
              <w:rPr>
                <w:sz w:val="22"/>
                <w:szCs w:val="22"/>
              </w:rPr>
              <w:t xml:space="preserve"> </w:t>
            </w:r>
            <w:r w:rsidRPr="00184607">
              <w:rPr>
                <w:sz w:val="22"/>
                <w:szCs w:val="22"/>
              </w:rPr>
              <w:t>(тыс. руб.)</w:t>
            </w:r>
          </w:p>
        </w:tc>
        <w:tc>
          <w:tcPr>
            <w:tcW w:w="1070" w:type="dxa"/>
            <w:vAlign w:val="center"/>
          </w:tcPr>
          <w:p w:rsidR="00DA42F2" w:rsidRPr="00184607" w:rsidRDefault="00DA42F2" w:rsidP="00A40598">
            <w:pPr>
              <w:widowControl w:val="0"/>
              <w:ind w:firstLine="0"/>
              <w:jc w:val="center"/>
              <w:rPr>
                <w:sz w:val="22"/>
                <w:szCs w:val="22"/>
              </w:rPr>
            </w:pPr>
            <w:r w:rsidRPr="00184607">
              <w:rPr>
                <w:sz w:val="22"/>
                <w:szCs w:val="22"/>
              </w:rPr>
              <w:t>1 192, 8</w:t>
            </w:r>
          </w:p>
        </w:tc>
        <w:tc>
          <w:tcPr>
            <w:tcW w:w="943" w:type="dxa"/>
            <w:vAlign w:val="center"/>
          </w:tcPr>
          <w:p w:rsidR="00DA42F2" w:rsidRPr="00184607" w:rsidRDefault="00DA42F2" w:rsidP="00A40598">
            <w:pPr>
              <w:widowControl w:val="0"/>
              <w:ind w:firstLine="0"/>
              <w:jc w:val="center"/>
              <w:rPr>
                <w:sz w:val="22"/>
                <w:szCs w:val="22"/>
              </w:rPr>
            </w:pPr>
            <w:r w:rsidRPr="00184607">
              <w:rPr>
                <w:sz w:val="22"/>
                <w:szCs w:val="22"/>
              </w:rPr>
              <w:t>650,0</w:t>
            </w:r>
          </w:p>
        </w:tc>
        <w:tc>
          <w:tcPr>
            <w:tcW w:w="1060" w:type="dxa"/>
            <w:vAlign w:val="center"/>
          </w:tcPr>
          <w:p w:rsidR="00DA42F2" w:rsidRPr="00184607" w:rsidRDefault="00DA42F2" w:rsidP="00A40598">
            <w:pPr>
              <w:widowControl w:val="0"/>
              <w:ind w:firstLine="0"/>
              <w:jc w:val="center"/>
              <w:rPr>
                <w:sz w:val="22"/>
                <w:szCs w:val="22"/>
              </w:rPr>
            </w:pPr>
            <w:r w:rsidRPr="00184607">
              <w:rPr>
                <w:sz w:val="22"/>
                <w:szCs w:val="22"/>
              </w:rPr>
              <w:t>500,0</w:t>
            </w:r>
          </w:p>
        </w:tc>
        <w:tc>
          <w:tcPr>
            <w:tcW w:w="943" w:type="dxa"/>
            <w:vAlign w:val="center"/>
          </w:tcPr>
          <w:p w:rsidR="00DA42F2" w:rsidRPr="00184607" w:rsidRDefault="00DA42F2" w:rsidP="00A40598">
            <w:pPr>
              <w:widowControl w:val="0"/>
              <w:ind w:firstLine="0"/>
              <w:jc w:val="center"/>
              <w:rPr>
                <w:sz w:val="22"/>
                <w:szCs w:val="22"/>
              </w:rPr>
            </w:pPr>
            <w:r w:rsidRPr="00184607">
              <w:rPr>
                <w:sz w:val="22"/>
                <w:szCs w:val="22"/>
              </w:rPr>
              <w:t>560,0</w:t>
            </w:r>
          </w:p>
        </w:tc>
        <w:tc>
          <w:tcPr>
            <w:tcW w:w="876" w:type="dxa"/>
            <w:vAlign w:val="center"/>
          </w:tcPr>
          <w:p w:rsidR="00DA42F2" w:rsidRPr="00184607" w:rsidRDefault="00DA42F2" w:rsidP="00A40598">
            <w:pPr>
              <w:widowControl w:val="0"/>
              <w:ind w:firstLine="0"/>
              <w:rPr>
                <w:sz w:val="22"/>
                <w:szCs w:val="22"/>
              </w:rPr>
            </w:pPr>
            <w:r w:rsidRPr="00184607">
              <w:rPr>
                <w:sz w:val="22"/>
                <w:szCs w:val="22"/>
              </w:rPr>
              <w:t>5 380,0</w:t>
            </w:r>
          </w:p>
        </w:tc>
        <w:tc>
          <w:tcPr>
            <w:tcW w:w="1067" w:type="dxa"/>
            <w:vAlign w:val="center"/>
          </w:tcPr>
          <w:p w:rsidR="00DA42F2" w:rsidRPr="00A40598" w:rsidRDefault="00DA42F2" w:rsidP="00FF065A">
            <w:pPr>
              <w:widowControl w:val="0"/>
              <w:ind w:firstLine="0"/>
              <w:jc w:val="center"/>
              <w:rPr>
                <w:sz w:val="22"/>
                <w:szCs w:val="22"/>
              </w:rPr>
            </w:pPr>
            <w:r w:rsidRPr="00A40598">
              <w:rPr>
                <w:sz w:val="22"/>
                <w:szCs w:val="22"/>
              </w:rPr>
              <w:t>3 8</w:t>
            </w:r>
            <w:r>
              <w:rPr>
                <w:sz w:val="22"/>
                <w:szCs w:val="22"/>
              </w:rPr>
              <w:t>8</w:t>
            </w:r>
            <w:r w:rsidRPr="00A40598">
              <w:rPr>
                <w:sz w:val="22"/>
                <w:szCs w:val="22"/>
              </w:rPr>
              <w:t>2,8</w:t>
            </w:r>
          </w:p>
        </w:tc>
        <w:tc>
          <w:tcPr>
            <w:tcW w:w="1067" w:type="dxa"/>
          </w:tcPr>
          <w:p w:rsidR="00DA42F2" w:rsidRPr="00A40598" w:rsidRDefault="00DA42F2" w:rsidP="00FF065A">
            <w:pPr>
              <w:widowControl w:val="0"/>
              <w:ind w:firstLine="0"/>
              <w:jc w:val="center"/>
              <w:rPr>
                <w:sz w:val="22"/>
                <w:szCs w:val="22"/>
              </w:rPr>
            </w:pPr>
            <w:r>
              <w:rPr>
                <w:sz w:val="22"/>
                <w:szCs w:val="22"/>
              </w:rPr>
              <w:t>1 150,0</w:t>
            </w:r>
          </w:p>
        </w:tc>
      </w:tr>
      <w:tr w:rsidR="00DA42F2" w:rsidRPr="00184607" w:rsidTr="008D2D94">
        <w:trPr>
          <w:jc w:val="center"/>
        </w:trPr>
        <w:tc>
          <w:tcPr>
            <w:tcW w:w="2517" w:type="dxa"/>
            <w:shd w:val="clear" w:color="auto" w:fill="auto"/>
          </w:tcPr>
          <w:p w:rsidR="00DA42F2" w:rsidRPr="00184607" w:rsidRDefault="00DA42F2" w:rsidP="00B15A0B">
            <w:pPr>
              <w:widowControl w:val="0"/>
              <w:ind w:firstLine="0"/>
              <w:rPr>
                <w:sz w:val="22"/>
                <w:szCs w:val="22"/>
              </w:rPr>
            </w:pPr>
            <w:r w:rsidRPr="00184607">
              <w:rPr>
                <w:sz w:val="22"/>
                <w:szCs w:val="22"/>
              </w:rPr>
              <w:t>Средний размер единовременной выплаты (</w:t>
            </w:r>
            <w:r>
              <w:rPr>
                <w:sz w:val="22"/>
                <w:szCs w:val="22"/>
              </w:rPr>
              <w:t xml:space="preserve">тыс. </w:t>
            </w:r>
            <w:r w:rsidRPr="00184607">
              <w:rPr>
                <w:sz w:val="22"/>
                <w:szCs w:val="22"/>
              </w:rPr>
              <w:t>руб.)</w:t>
            </w:r>
          </w:p>
        </w:tc>
        <w:tc>
          <w:tcPr>
            <w:tcW w:w="1070" w:type="dxa"/>
            <w:vAlign w:val="center"/>
          </w:tcPr>
          <w:p w:rsidR="00DA42F2" w:rsidRPr="00184607" w:rsidRDefault="00DA42F2" w:rsidP="00A40598">
            <w:pPr>
              <w:widowControl w:val="0"/>
              <w:ind w:firstLine="0"/>
              <w:jc w:val="center"/>
              <w:rPr>
                <w:sz w:val="22"/>
                <w:szCs w:val="22"/>
              </w:rPr>
            </w:pPr>
            <w:r w:rsidRPr="00184607">
              <w:rPr>
                <w:sz w:val="22"/>
                <w:szCs w:val="22"/>
              </w:rPr>
              <w:t>74</w:t>
            </w:r>
            <w:r>
              <w:rPr>
                <w:sz w:val="22"/>
                <w:szCs w:val="22"/>
              </w:rPr>
              <w:t>,5</w:t>
            </w:r>
          </w:p>
        </w:tc>
        <w:tc>
          <w:tcPr>
            <w:tcW w:w="943" w:type="dxa"/>
            <w:vAlign w:val="center"/>
          </w:tcPr>
          <w:p w:rsidR="00DA42F2" w:rsidRPr="00184607" w:rsidRDefault="00DA42F2" w:rsidP="00A40598">
            <w:pPr>
              <w:widowControl w:val="0"/>
              <w:ind w:firstLine="0"/>
              <w:jc w:val="center"/>
              <w:rPr>
                <w:sz w:val="22"/>
                <w:szCs w:val="22"/>
              </w:rPr>
            </w:pPr>
            <w:r w:rsidRPr="00184607">
              <w:rPr>
                <w:sz w:val="22"/>
                <w:szCs w:val="22"/>
              </w:rPr>
              <w:t>108</w:t>
            </w:r>
            <w:r>
              <w:rPr>
                <w:sz w:val="22"/>
                <w:szCs w:val="22"/>
              </w:rPr>
              <w:t>,</w:t>
            </w:r>
            <w:r w:rsidRPr="00184607">
              <w:rPr>
                <w:sz w:val="22"/>
                <w:szCs w:val="22"/>
              </w:rPr>
              <w:t>3</w:t>
            </w:r>
          </w:p>
        </w:tc>
        <w:tc>
          <w:tcPr>
            <w:tcW w:w="1060" w:type="dxa"/>
            <w:vAlign w:val="center"/>
          </w:tcPr>
          <w:p w:rsidR="00DA42F2" w:rsidRPr="00184607" w:rsidRDefault="00DA42F2" w:rsidP="00A40598">
            <w:pPr>
              <w:widowControl w:val="0"/>
              <w:ind w:firstLine="0"/>
              <w:jc w:val="center"/>
              <w:rPr>
                <w:sz w:val="22"/>
                <w:szCs w:val="22"/>
              </w:rPr>
            </w:pPr>
            <w:r w:rsidRPr="00184607">
              <w:rPr>
                <w:sz w:val="22"/>
                <w:szCs w:val="22"/>
              </w:rPr>
              <w:t>100</w:t>
            </w:r>
            <w:r>
              <w:rPr>
                <w:sz w:val="22"/>
                <w:szCs w:val="22"/>
              </w:rPr>
              <w:t>,</w:t>
            </w:r>
            <w:r w:rsidRPr="00184607">
              <w:rPr>
                <w:sz w:val="22"/>
                <w:szCs w:val="22"/>
              </w:rPr>
              <w:t>0</w:t>
            </w:r>
          </w:p>
        </w:tc>
        <w:tc>
          <w:tcPr>
            <w:tcW w:w="943" w:type="dxa"/>
            <w:vAlign w:val="center"/>
          </w:tcPr>
          <w:p w:rsidR="00DA42F2" w:rsidRPr="00184607" w:rsidRDefault="00DA42F2" w:rsidP="00A40598">
            <w:pPr>
              <w:widowControl w:val="0"/>
              <w:ind w:firstLine="0"/>
              <w:jc w:val="center"/>
              <w:rPr>
                <w:sz w:val="22"/>
                <w:szCs w:val="22"/>
              </w:rPr>
            </w:pPr>
            <w:r w:rsidRPr="00184607">
              <w:rPr>
                <w:sz w:val="22"/>
                <w:szCs w:val="22"/>
              </w:rPr>
              <w:t>93</w:t>
            </w:r>
            <w:r>
              <w:rPr>
                <w:sz w:val="22"/>
                <w:szCs w:val="22"/>
              </w:rPr>
              <w:t>,</w:t>
            </w:r>
            <w:r w:rsidRPr="00184607">
              <w:rPr>
                <w:sz w:val="22"/>
                <w:szCs w:val="22"/>
              </w:rPr>
              <w:t>3</w:t>
            </w:r>
          </w:p>
        </w:tc>
        <w:tc>
          <w:tcPr>
            <w:tcW w:w="876" w:type="dxa"/>
            <w:vAlign w:val="center"/>
          </w:tcPr>
          <w:p w:rsidR="00DA42F2" w:rsidRPr="00184607" w:rsidRDefault="00DA42F2" w:rsidP="00A40598">
            <w:pPr>
              <w:widowControl w:val="0"/>
              <w:ind w:firstLine="0"/>
              <w:jc w:val="center"/>
              <w:rPr>
                <w:sz w:val="22"/>
                <w:szCs w:val="22"/>
              </w:rPr>
            </w:pPr>
            <w:r w:rsidRPr="00184607">
              <w:rPr>
                <w:sz w:val="22"/>
                <w:szCs w:val="22"/>
              </w:rPr>
              <w:t>49</w:t>
            </w:r>
            <w:r>
              <w:rPr>
                <w:sz w:val="22"/>
                <w:szCs w:val="22"/>
              </w:rPr>
              <w:t>,8</w:t>
            </w:r>
          </w:p>
        </w:tc>
        <w:tc>
          <w:tcPr>
            <w:tcW w:w="1067" w:type="dxa"/>
            <w:vAlign w:val="center"/>
          </w:tcPr>
          <w:p w:rsidR="00DA42F2" w:rsidRPr="00A40598" w:rsidRDefault="00DA42F2" w:rsidP="00A40598">
            <w:pPr>
              <w:widowControl w:val="0"/>
              <w:ind w:firstLine="0"/>
              <w:jc w:val="center"/>
              <w:rPr>
                <w:sz w:val="22"/>
                <w:szCs w:val="22"/>
              </w:rPr>
            </w:pPr>
            <w:r w:rsidRPr="00A40598">
              <w:rPr>
                <w:sz w:val="22"/>
                <w:szCs w:val="22"/>
              </w:rPr>
              <w:t>51,1</w:t>
            </w:r>
          </w:p>
        </w:tc>
        <w:tc>
          <w:tcPr>
            <w:tcW w:w="1067" w:type="dxa"/>
          </w:tcPr>
          <w:p w:rsidR="00DA42F2" w:rsidRDefault="00DA42F2" w:rsidP="00A40598">
            <w:pPr>
              <w:widowControl w:val="0"/>
              <w:ind w:firstLine="0"/>
              <w:jc w:val="center"/>
              <w:rPr>
                <w:sz w:val="22"/>
                <w:szCs w:val="22"/>
              </w:rPr>
            </w:pPr>
          </w:p>
          <w:p w:rsidR="00DA42F2" w:rsidRPr="00A40598" w:rsidRDefault="00DA42F2" w:rsidP="00A40598">
            <w:pPr>
              <w:widowControl w:val="0"/>
              <w:ind w:firstLine="0"/>
              <w:jc w:val="center"/>
              <w:rPr>
                <w:sz w:val="22"/>
                <w:szCs w:val="22"/>
              </w:rPr>
            </w:pPr>
            <w:r>
              <w:rPr>
                <w:sz w:val="22"/>
                <w:szCs w:val="22"/>
              </w:rPr>
              <w:t>60,5</w:t>
            </w:r>
          </w:p>
        </w:tc>
      </w:tr>
      <w:tr w:rsidR="00DA42F2" w:rsidRPr="00184607" w:rsidTr="008D2D94">
        <w:trPr>
          <w:jc w:val="center"/>
        </w:trPr>
        <w:tc>
          <w:tcPr>
            <w:tcW w:w="2517" w:type="dxa"/>
            <w:shd w:val="clear" w:color="auto" w:fill="auto"/>
          </w:tcPr>
          <w:p w:rsidR="00DA42F2" w:rsidRPr="00ED0303" w:rsidRDefault="00DA42F2" w:rsidP="00ED0303">
            <w:pPr>
              <w:widowControl w:val="0"/>
              <w:ind w:firstLine="0"/>
              <w:rPr>
                <w:sz w:val="22"/>
                <w:szCs w:val="22"/>
              </w:rPr>
            </w:pPr>
            <w:r>
              <w:rPr>
                <w:sz w:val="22"/>
                <w:szCs w:val="22"/>
              </w:rPr>
              <w:t>Д</w:t>
            </w:r>
            <w:r w:rsidRPr="00ED0303">
              <w:rPr>
                <w:sz w:val="22"/>
                <w:szCs w:val="22"/>
              </w:rPr>
              <w:t>оля малоимущих граждан, получивших государственную социальную помощь на основании социального контракта</w:t>
            </w:r>
            <w:r>
              <w:rPr>
                <w:sz w:val="22"/>
                <w:szCs w:val="22"/>
              </w:rPr>
              <w:t xml:space="preserve"> в общей численности получателей социальной помощи</w:t>
            </w:r>
            <w:proofErr w:type="gramStart"/>
            <w:r>
              <w:rPr>
                <w:sz w:val="22"/>
                <w:szCs w:val="22"/>
              </w:rPr>
              <w:t xml:space="preserve"> (%)</w:t>
            </w:r>
            <w:proofErr w:type="gramEnd"/>
          </w:p>
        </w:tc>
        <w:tc>
          <w:tcPr>
            <w:tcW w:w="1070" w:type="dxa"/>
            <w:vAlign w:val="center"/>
          </w:tcPr>
          <w:p w:rsidR="00DA42F2" w:rsidRPr="00184607" w:rsidRDefault="00DA42F2" w:rsidP="00A40598">
            <w:pPr>
              <w:widowControl w:val="0"/>
              <w:ind w:firstLine="0"/>
              <w:jc w:val="center"/>
              <w:rPr>
                <w:sz w:val="22"/>
                <w:szCs w:val="22"/>
              </w:rPr>
            </w:pPr>
            <w:r>
              <w:rPr>
                <w:sz w:val="22"/>
                <w:szCs w:val="22"/>
              </w:rPr>
              <w:t>0,26</w:t>
            </w:r>
          </w:p>
        </w:tc>
        <w:tc>
          <w:tcPr>
            <w:tcW w:w="943" w:type="dxa"/>
            <w:vAlign w:val="center"/>
          </w:tcPr>
          <w:p w:rsidR="00DA42F2" w:rsidRPr="00184607" w:rsidRDefault="00DA42F2" w:rsidP="00A40598">
            <w:pPr>
              <w:widowControl w:val="0"/>
              <w:ind w:firstLine="0"/>
              <w:jc w:val="center"/>
              <w:rPr>
                <w:sz w:val="22"/>
                <w:szCs w:val="22"/>
              </w:rPr>
            </w:pPr>
            <w:r>
              <w:rPr>
                <w:sz w:val="22"/>
                <w:szCs w:val="22"/>
              </w:rPr>
              <w:t>0,09</w:t>
            </w:r>
          </w:p>
        </w:tc>
        <w:tc>
          <w:tcPr>
            <w:tcW w:w="1060" w:type="dxa"/>
            <w:vAlign w:val="center"/>
          </w:tcPr>
          <w:p w:rsidR="00DA42F2" w:rsidRPr="00184607" w:rsidRDefault="00DA42F2" w:rsidP="00A40598">
            <w:pPr>
              <w:widowControl w:val="0"/>
              <w:ind w:firstLine="0"/>
              <w:jc w:val="center"/>
              <w:rPr>
                <w:sz w:val="22"/>
                <w:szCs w:val="22"/>
              </w:rPr>
            </w:pPr>
            <w:r>
              <w:rPr>
                <w:sz w:val="22"/>
                <w:szCs w:val="22"/>
              </w:rPr>
              <w:t>0,06</w:t>
            </w:r>
          </w:p>
        </w:tc>
        <w:tc>
          <w:tcPr>
            <w:tcW w:w="943" w:type="dxa"/>
            <w:vAlign w:val="center"/>
          </w:tcPr>
          <w:p w:rsidR="00DA42F2" w:rsidRPr="00184607" w:rsidRDefault="00DA42F2" w:rsidP="00A40598">
            <w:pPr>
              <w:widowControl w:val="0"/>
              <w:ind w:firstLine="0"/>
              <w:jc w:val="center"/>
              <w:rPr>
                <w:sz w:val="22"/>
                <w:szCs w:val="22"/>
              </w:rPr>
            </w:pPr>
            <w:r>
              <w:rPr>
                <w:sz w:val="22"/>
                <w:szCs w:val="22"/>
              </w:rPr>
              <w:t>0,08</w:t>
            </w:r>
          </w:p>
        </w:tc>
        <w:tc>
          <w:tcPr>
            <w:tcW w:w="876" w:type="dxa"/>
            <w:vAlign w:val="center"/>
          </w:tcPr>
          <w:p w:rsidR="00DA42F2" w:rsidRPr="00184607" w:rsidRDefault="00DA42F2" w:rsidP="00A40598">
            <w:pPr>
              <w:widowControl w:val="0"/>
              <w:ind w:firstLine="0"/>
              <w:jc w:val="center"/>
              <w:rPr>
                <w:sz w:val="22"/>
                <w:szCs w:val="22"/>
              </w:rPr>
            </w:pPr>
            <w:r>
              <w:rPr>
                <w:sz w:val="22"/>
                <w:szCs w:val="22"/>
              </w:rPr>
              <w:t>1,46</w:t>
            </w:r>
          </w:p>
        </w:tc>
        <w:tc>
          <w:tcPr>
            <w:tcW w:w="1067" w:type="dxa"/>
            <w:vAlign w:val="center"/>
          </w:tcPr>
          <w:p w:rsidR="00DA42F2" w:rsidRPr="00A40598" w:rsidRDefault="00DA42F2" w:rsidP="00A40598">
            <w:pPr>
              <w:widowControl w:val="0"/>
              <w:ind w:firstLine="0"/>
              <w:jc w:val="center"/>
              <w:rPr>
                <w:sz w:val="22"/>
                <w:szCs w:val="22"/>
              </w:rPr>
            </w:pPr>
            <w:r>
              <w:rPr>
                <w:sz w:val="22"/>
                <w:szCs w:val="22"/>
              </w:rPr>
              <w:t>1,15</w:t>
            </w:r>
          </w:p>
        </w:tc>
        <w:tc>
          <w:tcPr>
            <w:tcW w:w="1067" w:type="dxa"/>
          </w:tcPr>
          <w:p w:rsidR="00DA42F2" w:rsidRDefault="00DA42F2" w:rsidP="00A40598">
            <w:pPr>
              <w:widowControl w:val="0"/>
              <w:ind w:firstLine="0"/>
              <w:jc w:val="center"/>
              <w:rPr>
                <w:sz w:val="22"/>
                <w:szCs w:val="22"/>
              </w:rPr>
            </w:pPr>
          </w:p>
          <w:p w:rsidR="00DA42F2" w:rsidRDefault="00DA42F2" w:rsidP="00A40598">
            <w:pPr>
              <w:widowControl w:val="0"/>
              <w:ind w:firstLine="0"/>
              <w:jc w:val="center"/>
              <w:rPr>
                <w:sz w:val="22"/>
                <w:szCs w:val="22"/>
              </w:rPr>
            </w:pPr>
          </w:p>
          <w:p w:rsidR="00DA42F2" w:rsidRDefault="00DA42F2" w:rsidP="00A40598">
            <w:pPr>
              <w:widowControl w:val="0"/>
              <w:ind w:firstLine="0"/>
              <w:jc w:val="center"/>
              <w:rPr>
                <w:sz w:val="22"/>
                <w:szCs w:val="22"/>
              </w:rPr>
            </w:pPr>
          </w:p>
          <w:p w:rsidR="00DA42F2" w:rsidRDefault="00DA42F2" w:rsidP="00A40598">
            <w:pPr>
              <w:widowControl w:val="0"/>
              <w:ind w:firstLine="0"/>
              <w:jc w:val="center"/>
              <w:rPr>
                <w:sz w:val="22"/>
                <w:szCs w:val="22"/>
              </w:rPr>
            </w:pPr>
          </w:p>
          <w:p w:rsidR="00DA42F2" w:rsidRDefault="00DA42F2" w:rsidP="00A40598">
            <w:pPr>
              <w:widowControl w:val="0"/>
              <w:ind w:firstLine="0"/>
              <w:jc w:val="center"/>
              <w:rPr>
                <w:sz w:val="22"/>
                <w:szCs w:val="22"/>
              </w:rPr>
            </w:pPr>
            <w:r>
              <w:rPr>
                <w:sz w:val="22"/>
                <w:szCs w:val="22"/>
              </w:rPr>
              <w:t>1,8</w:t>
            </w:r>
          </w:p>
        </w:tc>
      </w:tr>
    </w:tbl>
    <w:p w:rsidR="00AB489F" w:rsidRDefault="00AB489F" w:rsidP="00AB489F">
      <w:pPr>
        <w:ind w:firstLine="708"/>
        <w:rPr>
          <w:sz w:val="24"/>
          <w:szCs w:val="24"/>
        </w:rPr>
      </w:pPr>
    </w:p>
    <w:p w:rsidR="00AB489F" w:rsidRPr="00D93E82" w:rsidRDefault="00AB489F" w:rsidP="00AB489F">
      <w:pPr>
        <w:ind w:firstLine="708"/>
        <w:rPr>
          <w:szCs w:val="24"/>
        </w:rPr>
      </w:pPr>
      <w:r w:rsidRPr="00D93E82">
        <w:rPr>
          <w:szCs w:val="24"/>
        </w:rPr>
        <w:t xml:space="preserve">В </w:t>
      </w:r>
      <w:r w:rsidR="009060D8">
        <w:rPr>
          <w:szCs w:val="24"/>
        </w:rPr>
        <w:t>1 квартале 2020 года</w:t>
      </w:r>
      <w:r w:rsidR="00141488">
        <w:rPr>
          <w:szCs w:val="24"/>
        </w:rPr>
        <w:t xml:space="preserve">  заключено  </w:t>
      </w:r>
      <w:r w:rsidR="00DA42F2" w:rsidRPr="00DA42F2">
        <w:rPr>
          <w:szCs w:val="24"/>
        </w:rPr>
        <w:t>19</w:t>
      </w:r>
      <w:r w:rsidR="00141488">
        <w:rPr>
          <w:szCs w:val="24"/>
        </w:rPr>
        <w:t xml:space="preserve"> социальных контракта на сумму </w:t>
      </w:r>
      <w:r w:rsidR="00DA42F2" w:rsidRPr="00DA42F2">
        <w:rPr>
          <w:szCs w:val="24"/>
        </w:rPr>
        <w:t>1 150,0</w:t>
      </w:r>
      <w:r w:rsidR="00141488" w:rsidRPr="00DA42F2">
        <w:rPr>
          <w:szCs w:val="24"/>
        </w:rPr>
        <w:t xml:space="preserve"> </w:t>
      </w:r>
      <w:proofErr w:type="spellStart"/>
      <w:r w:rsidR="00141488" w:rsidRPr="00DA42F2">
        <w:rPr>
          <w:szCs w:val="24"/>
        </w:rPr>
        <w:t>т.р</w:t>
      </w:r>
      <w:proofErr w:type="spellEnd"/>
      <w:r w:rsidR="00141488">
        <w:rPr>
          <w:szCs w:val="24"/>
        </w:rPr>
        <w:t xml:space="preserve">.  Заключение социальных контрактов на период режима самоизоляции приостановлено в связи с невозможностью проведения обследования, предоставления необходимого перечня документов, в том числе подтверждающих доходы членов семьи заявителей. </w:t>
      </w:r>
    </w:p>
    <w:p w:rsidR="0057286A" w:rsidRDefault="0057286A" w:rsidP="0057286A">
      <w:pPr>
        <w:ind w:firstLine="708"/>
        <w:rPr>
          <w:szCs w:val="28"/>
        </w:rPr>
      </w:pPr>
      <w:r w:rsidRPr="00D93E82">
        <w:rPr>
          <w:szCs w:val="28"/>
        </w:rPr>
        <w:t xml:space="preserve">Средний размер единовременной денежной выплаты в </w:t>
      </w:r>
      <w:r w:rsidR="00DA42F2">
        <w:rPr>
          <w:szCs w:val="28"/>
        </w:rPr>
        <w:t xml:space="preserve"> 1 квартале </w:t>
      </w:r>
      <w:r w:rsidRPr="00D93E82">
        <w:rPr>
          <w:szCs w:val="28"/>
        </w:rPr>
        <w:t>20</w:t>
      </w:r>
      <w:r w:rsidR="00DA42F2">
        <w:rPr>
          <w:szCs w:val="28"/>
        </w:rPr>
        <w:t>20</w:t>
      </w:r>
      <w:r w:rsidRPr="00D93E82">
        <w:rPr>
          <w:szCs w:val="28"/>
        </w:rPr>
        <w:t xml:space="preserve"> г. состав</w:t>
      </w:r>
      <w:r w:rsidR="00DA42F2">
        <w:rPr>
          <w:szCs w:val="28"/>
        </w:rPr>
        <w:t>ил</w:t>
      </w:r>
      <w:r w:rsidRPr="00D93E82">
        <w:rPr>
          <w:szCs w:val="28"/>
        </w:rPr>
        <w:t xml:space="preserve"> –</w:t>
      </w:r>
      <w:r w:rsidR="007928D8">
        <w:rPr>
          <w:szCs w:val="28"/>
        </w:rPr>
        <w:t xml:space="preserve"> </w:t>
      </w:r>
      <w:r w:rsidRPr="00D93E82">
        <w:rPr>
          <w:szCs w:val="28"/>
        </w:rPr>
        <w:t>6</w:t>
      </w:r>
      <w:r w:rsidR="00DA42F2">
        <w:rPr>
          <w:szCs w:val="28"/>
        </w:rPr>
        <w:t>0,5</w:t>
      </w:r>
      <w:r w:rsidRPr="00D93E82">
        <w:rPr>
          <w:szCs w:val="28"/>
        </w:rPr>
        <w:t xml:space="preserve"> рублей</w:t>
      </w:r>
      <w:r w:rsidRPr="00F70D0B">
        <w:rPr>
          <w:szCs w:val="28"/>
        </w:rPr>
        <w:t>.</w:t>
      </w:r>
      <w:r w:rsidR="004C6528">
        <w:rPr>
          <w:szCs w:val="28"/>
        </w:rPr>
        <w:t xml:space="preserve"> </w:t>
      </w:r>
    </w:p>
    <w:p w:rsidR="00AB489F" w:rsidRDefault="00AB489F" w:rsidP="007928D8">
      <w:pPr>
        <w:pStyle w:val="a3"/>
        <w:spacing w:after="0"/>
        <w:ind w:firstLine="708"/>
      </w:pPr>
      <w:r w:rsidRPr="00AA6677">
        <w:t xml:space="preserve">Средства, полученные в соответствии с заключенными социальными контрактами, преимущественно направлены на развитие личного подсобного хозяйства (приобретение домашнего скота, птицы, строительных материалов, </w:t>
      </w:r>
      <w:r w:rsidRPr="00AA6677">
        <w:lastRenderedPageBreak/>
        <w:t>мотоблоков для обработки земельных участков) и на осуществление ремонта жилья и хозяйственных построек</w:t>
      </w:r>
      <w:proofErr w:type="gramStart"/>
      <w:r w:rsidR="004861BE">
        <w:t xml:space="preserve"> </w:t>
      </w:r>
      <w:r w:rsidRPr="00AA6677">
        <w:t>.</w:t>
      </w:r>
      <w:proofErr w:type="gramEnd"/>
    </w:p>
    <w:p w:rsidR="00AB489F" w:rsidRPr="00AA6677" w:rsidRDefault="00AB489F" w:rsidP="007928D8">
      <w:pPr>
        <w:ind w:firstLine="709"/>
      </w:pPr>
      <w:r w:rsidRPr="00AA6677">
        <w:t>Оказание малоимущим семьям государственной социальной помощи на основании социального контракта позволило увеличить натуральные поступления из личного подсобного хозяйства, как для личного потребления, так и на реализацию, улучшить материально-бытовые условия проживания.</w:t>
      </w:r>
    </w:p>
    <w:p w:rsidR="00AB489F" w:rsidRDefault="00AB489F" w:rsidP="007928D8">
      <w:pPr>
        <w:ind w:firstLine="709"/>
        <w:rPr>
          <w:szCs w:val="28"/>
        </w:rPr>
      </w:pPr>
      <w:r>
        <w:rPr>
          <w:szCs w:val="28"/>
        </w:rPr>
        <w:t xml:space="preserve">С 2018 года  </w:t>
      </w:r>
      <w:r w:rsidRPr="00EE70C9">
        <w:rPr>
          <w:szCs w:val="28"/>
        </w:rPr>
        <w:t>государственная социальная помощь на основании социального контракта</w:t>
      </w:r>
      <w:r>
        <w:rPr>
          <w:sz w:val="24"/>
          <w:szCs w:val="24"/>
        </w:rPr>
        <w:t xml:space="preserve">  </w:t>
      </w:r>
      <w:r>
        <w:rPr>
          <w:szCs w:val="28"/>
        </w:rPr>
        <w:t>оказывается  детям из числа сирот и детей, оставшихся без попечения родителей, на обустройство жилых помещений</w:t>
      </w:r>
      <w:r w:rsidR="00270254">
        <w:rPr>
          <w:szCs w:val="28"/>
        </w:rPr>
        <w:t xml:space="preserve"> в размере 50,0 тыс. руб. </w:t>
      </w:r>
      <w:r>
        <w:rPr>
          <w:szCs w:val="28"/>
        </w:rPr>
        <w:t>С 2019 года – студенческим семьям (одиноким родителям из числа студентов)  имеющих детей.</w:t>
      </w:r>
    </w:p>
    <w:p w:rsidR="00731D43" w:rsidRDefault="00731D43" w:rsidP="007928D8">
      <w:pPr>
        <w:ind w:firstLine="709"/>
        <w:rPr>
          <w:szCs w:val="28"/>
        </w:rPr>
      </w:pPr>
      <w:r>
        <w:rPr>
          <w:szCs w:val="28"/>
        </w:rPr>
        <w:t xml:space="preserve">Снижение размера единовременной выплаты по </w:t>
      </w:r>
      <w:proofErr w:type="spellStart"/>
      <w:r>
        <w:rPr>
          <w:szCs w:val="28"/>
        </w:rPr>
        <w:t>соцконтракту</w:t>
      </w:r>
      <w:proofErr w:type="spellEnd"/>
      <w:r>
        <w:rPr>
          <w:szCs w:val="28"/>
        </w:rPr>
        <w:t xml:space="preserve"> в 2018 и 2019 гг. по сравнению с  2014-2017 гг. связано с </w:t>
      </w:r>
      <w:r w:rsidR="00265BBC">
        <w:rPr>
          <w:szCs w:val="28"/>
        </w:rPr>
        <w:t xml:space="preserve">увеличением доли получателей из числа </w:t>
      </w:r>
      <w:r w:rsidR="00B60355">
        <w:rPr>
          <w:szCs w:val="28"/>
        </w:rPr>
        <w:t xml:space="preserve"> </w:t>
      </w:r>
      <w:r w:rsidR="00CA1605">
        <w:rPr>
          <w:szCs w:val="28"/>
        </w:rPr>
        <w:t>дет</w:t>
      </w:r>
      <w:r w:rsidR="00265BBC">
        <w:rPr>
          <w:szCs w:val="28"/>
        </w:rPr>
        <w:t>ей</w:t>
      </w:r>
      <w:r w:rsidR="00CA1605">
        <w:rPr>
          <w:szCs w:val="28"/>
        </w:rPr>
        <w:t xml:space="preserve"> сирот и </w:t>
      </w:r>
      <w:r w:rsidR="00B60355">
        <w:rPr>
          <w:szCs w:val="28"/>
        </w:rPr>
        <w:t>дет</w:t>
      </w:r>
      <w:r w:rsidR="00265BBC">
        <w:rPr>
          <w:szCs w:val="28"/>
        </w:rPr>
        <w:t>ей</w:t>
      </w:r>
      <w:r w:rsidR="00B60355">
        <w:rPr>
          <w:szCs w:val="28"/>
        </w:rPr>
        <w:t xml:space="preserve"> оставши</w:t>
      </w:r>
      <w:r w:rsidR="00265BBC">
        <w:rPr>
          <w:szCs w:val="28"/>
        </w:rPr>
        <w:t>х</w:t>
      </w:r>
      <w:r w:rsidR="00B60355">
        <w:rPr>
          <w:szCs w:val="28"/>
        </w:rPr>
        <w:t xml:space="preserve">ся без попечения родителей, </w:t>
      </w:r>
      <w:r w:rsidR="00265BBC">
        <w:rPr>
          <w:szCs w:val="28"/>
        </w:rPr>
        <w:t xml:space="preserve">получающих фиксированную выплату, размер </w:t>
      </w:r>
      <w:r w:rsidR="00B60355">
        <w:rPr>
          <w:szCs w:val="28"/>
        </w:rPr>
        <w:t>котор</w:t>
      </w:r>
      <w:r w:rsidR="00265BBC">
        <w:rPr>
          <w:szCs w:val="28"/>
        </w:rPr>
        <w:t>ой</w:t>
      </w:r>
      <w:r w:rsidR="00B60355">
        <w:rPr>
          <w:szCs w:val="28"/>
        </w:rPr>
        <w:t xml:space="preserve"> составляет менее 50% от размер</w:t>
      </w:r>
      <w:r w:rsidR="00265BBC">
        <w:rPr>
          <w:szCs w:val="28"/>
        </w:rPr>
        <w:t>а</w:t>
      </w:r>
      <w:r w:rsidR="00B60355">
        <w:rPr>
          <w:szCs w:val="28"/>
        </w:rPr>
        <w:t xml:space="preserve"> единовременной выплаты в предыдущи</w:t>
      </w:r>
      <w:r w:rsidR="00265BBC">
        <w:rPr>
          <w:szCs w:val="28"/>
        </w:rPr>
        <w:t>х</w:t>
      </w:r>
      <w:r w:rsidR="00B60355">
        <w:rPr>
          <w:szCs w:val="28"/>
        </w:rPr>
        <w:t xml:space="preserve"> год</w:t>
      </w:r>
      <w:r w:rsidR="00265BBC">
        <w:rPr>
          <w:szCs w:val="28"/>
        </w:rPr>
        <w:t>ах</w:t>
      </w:r>
      <w:r w:rsidR="00B60355">
        <w:rPr>
          <w:szCs w:val="28"/>
        </w:rPr>
        <w:t>.</w:t>
      </w:r>
    </w:p>
    <w:p w:rsidR="00265BBC" w:rsidRDefault="00AB489F" w:rsidP="007928D8">
      <w:pPr>
        <w:tabs>
          <w:tab w:val="left" w:pos="709"/>
        </w:tabs>
        <w:ind w:firstLine="709"/>
        <w:rPr>
          <w:sz w:val="20"/>
        </w:rPr>
      </w:pPr>
      <w:r>
        <w:rPr>
          <w:szCs w:val="28"/>
        </w:rPr>
        <w:t>Заключение социального контракта предусматривает составление программы социальной адаптации – плана мероприятий по стимулированию семьи к выходу семьи (одиноко проживающего гражданина</w:t>
      </w:r>
      <w:r w:rsidR="00AB1907">
        <w:rPr>
          <w:szCs w:val="28"/>
        </w:rPr>
        <w:t>)</w:t>
      </w:r>
      <w:r w:rsidR="00AF2E56">
        <w:rPr>
          <w:szCs w:val="28"/>
        </w:rPr>
        <w:t xml:space="preserve"> из трудной жизненной ситуации.</w:t>
      </w:r>
      <w:r w:rsidR="00AB1907">
        <w:rPr>
          <w:szCs w:val="28"/>
        </w:rPr>
        <w:t xml:space="preserve">  </w:t>
      </w:r>
      <w:r w:rsidR="00AF2E56">
        <w:rPr>
          <w:szCs w:val="28"/>
        </w:rPr>
        <w:t>Данная программа я</w:t>
      </w:r>
      <w:r w:rsidR="00AB1907">
        <w:rPr>
          <w:szCs w:val="28"/>
        </w:rPr>
        <w:t>вляется обязательным приложение</w:t>
      </w:r>
      <w:r w:rsidR="00AF2E56">
        <w:rPr>
          <w:szCs w:val="28"/>
        </w:rPr>
        <w:t xml:space="preserve">м к </w:t>
      </w:r>
      <w:proofErr w:type="spellStart"/>
      <w:r w:rsidR="00AF2E56">
        <w:rPr>
          <w:szCs w:val="28"/>
        </w:rPr>
        <w:t>соцконтракт</w:t>
      </w:r>
      <w:r w:rsidR="007F5D41">
        <w:rPr>
          <w:szCs w:val="28"/>
        </w:rPr>
        <w:t>у</w:t>
      </w:r>
      <w:proofErr w:type="spellEnd"/>
      <w:r w:rsidR="00AB1907">
        <w:rPr>
          <w:szCs w:val="28"/>
        </w:rPr>
        <w:t xml:space="preserve">. </w:t>
      </w:r>
      <w:r w:rsidR="00265BBC">
        <w:rPr>
          <w:szCs w:val="28"/>
        </w:rPr>
        <w:t xml:space="preserve">  </w:t>
      </w:r>
      <w:r w:rsidR="00AB1907">
        <w:rPr>
          <w:szCs w:val="28"/>
        </w:rPr>
        <w:t xml:space="preserve"> </w:t>
      </w:r>
    </w:p>
    <w:p w:rsidR="00AB489F" w:rsidRDefault="00AB489F" w:rsidP="007928D8">
      <w:pPr>
        <w:pStyle w:val="a3"/>
        <w:spacing w:after="0"/>
        <w:ind w:firstLine="709"/>
        <w:rPr>
          <w:szCs w:val="28"/>
        </w:rPr>
      </w:pPr>
      <w:r w:rsidRPr="00953AB1">
        <w:rPr>
          <w:szCs w:val="28"/>
        </w:rPr>
        <w:t>Цели реализации гражданином</w:t>
      </w:r>
      <w:r>
        <w:rPr>
          <w:szCs w:val="28"/>
        </w:rPr>
        <w:t xml:space="preserve"> программы социальной адаптации</w:t>
      </w:r>
      <w:r w:rsidRPr="00953AB1">
        <w:rPr>
          <w:szCs w:val="28"/>
        </w:rPr>
        <w:t>:</w:t>
      </w:r>
    </w:p>
    <w:p w:rsidR="00AB489F" w:rsidRPr="00AB489F" w:rsidRDefault="006F07DF" w:rsidP="007928D8">
      <w:pPr>
        <w:pStyle w:val="a3"/>
        <w:spacing w:after="0"/>
        <w:ind w:firstLine="709"/>
        <w:rPr>
          <w:szCs w:val="28"/>
        </w:rPr>
      </w:pPr>
      <w:r>
        <w:rPr>
          <w:szCs w:val="28"/>
        </w:rPr>
        <w:t xml:space="preserve"> </w:t>
      </w:r>
      <w:r w:rsidR="00AB489F" w:rsidRPr="00AB489F">
        <w:rPr>
          <w:szCs w:val="28"/>
        </w:rPr>
        <w:t>1) осуществление ремонта жилья и хозяйственных построек;</w:t>
      </w:r>
    </w:p>
    <w:p w:rsidR="00AB489F" w:rsidRPr="00AB489F" w:rsidRDefault="00AB489F" w:rsidP="007928D8">
      <w:pPr>
        <w:pStyle w:val="a3"/>
        <w:spacing w:after="0"/>
        <w:ind w:firstLine="709"/>
        <w:rPr>
          <w:szCs w:val="28"/>
        </w:rPr>
      </w:pPr>
      <w:r w:rsidRPr="00AB489F">
        <w:rPr>
          <w:szCs w:val="28"/>
        </w:rPr>
        <w:t>2) обеспечение родителями условий для развития, воспитания и образования детей в семье;</w:t>
      </w:r>
    </w:p>
    <w:p w:rsidR="00AB489F" w:rsidRPr="00AB489F" w:rsidRDefault="00AB489F" w:rsidP="007928D8">
      <w:pPr>
        <w:pStyle w:val="a3"/>
        <w:spacing w:after="0"/>
        <w:ind w:firstLine="709"/>
        <w:rPr>
          <w:szCs w:val="28"/>
        </w:rPr>
      </w:pPr>
      <w:r w:rsidRPr="00AB489F">
        <w:rPr>
          <w:szCs w:val="28"/>
        </w:rPr>
        <w:t>3) ведение и развитие личного подсобного хозяйства или создание крестьянского (фермерского) хозяйства;</w:t>
      </w:r>
    </w:p>
    <w:p w:rsidR="00AB489F" w:rsidRPr="00AB489F" w:rsidRDefault="00AB489F" w:rsidP="007928D8">
      <w:pPr>
        <w:pStyle w:val="a3"/>
        <w:spacing w:after="0"/>
        <w:ind w:firstLine="709"/>
        <w:rPr>
          <w:szCs w:val="28"/>
        </w:rPr>
      </w:pPr>
      <w:r w:rsidRPr="00AB489F">
        <w:rPr>
          <w:szCs w:val="28"/>
        </w:rPr>
        <w:t>4) обеспечение условий для социальной адаптации лиц из числа детей-сирот и детей, оставшихся без попечения родителей.</w:t>
      </w:r>
    </w:p>
    <w:p w:rsidR="00AB489F" w:rsidRPr="00953AB1" w:rsidRDefault="00AB489F" w:rsidP="007928D8">
      <w:pPr>
        <w:pStyle w:val="a3"/>
        <w:spacing w:after="0"/>
        <w:ind w:firstLine="709"/>
        <w:rPr>
          <w:szCs w:val="28"/>
        </w:rPr>
      </w:pPr>
      <w:r w:rsidRPr="00953AB1">
        <w:rPr>
          <w:szCs w:val="28"/>
        </w:rPr>
        <w:t xml:space="preserve"> Программой социальной адаптации, предусматриваются обязательные для реализации гражданином мероприятия, а также виды, объем и порядок реализации таких мероприятий. К таким мероприятиям, в частности, относятся:</w:t>
      </w:r>
    </w:p>
    <w:p w:rsidR="00AB489F" w:rsidRPr="00AB489F" w:rsidRDefault="00AB489F" w:rsidP="007928D8">
      <w:pPr>
        <w:pStyle w:val="a3"/>
        <w:spacing w:after="0"/>
        <w:ind w:firstLine="709"/>
        <w:rPr>
          <w:szCs w:val="28"/>
        </w:rPr>
      </w:pPr>
      <w:r w:rsidRPr="00AB489F">
        <w:rPr>
          <w:szCs w:val="28"/>
        </w:rPr>
        <w:t>1) трудоустройство;</w:t>
      </w:r>
    </w:p>
    <w:p w:rsidR="00AB489F" w:rsidRPr="00AB489F" w:rsidRDefault="00AB489F" w:rsidP="007928D8">
      <w:pPr>
        <w:pStyle w:val="a3"/>
        <w:spacing w:after="0"/>
        <w:ind w:firstLine="709"/>
        <w:rPr>
          <w:szCs w:val="28"/>
        </w:rPr>
      </w:pPr>
      <w:r w:rsidRPr="00AB489F">
        <w:rPr>
          <w:szCs w:val="28"/>
        </w:rPr>
        <w:t>2) осуществление индивидуальной предпринимательской деятельности;</w:t>
      </w:r>
    </w:p>
    <w:p w:rsidR="00AB489F" w:rsidRPr="00AB489F" w:rsidRDefault="00AB489F" w:rsidP="007928D8">
      <w:pPr>
        <w:pStyle w:val="a3"/>
        <w:spacing w:after="0"/>
        <w:ind w:firstLine="709"/>
        <w:rPr>
          <w:szCs w:val="28"/>
        </w:rPr>
      </w:pPr>
      <w:r w:rsidRPr="00AB489F">
        <w:rPr>
          <w:szCs w:val="28"/>
        </w:rPr>
        <w:t>3) прохождение профессионального обучения и дополнительного профессионального образования;</w:t>
      </w:r>
    </w:p>
    <w:p w:rsidR="00AB489F" w:rsidRPr="00AB489F" w:rsidRDefault="00AB489F" w:rsidP="007928D8">
      <w:pPr>
        <w:pStyle w:val="a3"/>
        <w:spacing w:after="0"/>
        <w:ind w:firstLine="709"/>
        <w:rPr>
          <w:szCs w:val="28"/>
        </w:rPr>
      </w:pPr>
      <w:r w:rsidRPr="00AB489F">
        <w:rPr>
          <w:szCs w:val="28"/>
        </w:rPr>
        <w:t>4) обеспечение посещения детьми образовательных организаций;</w:t>
      </w:r>
    </w:p>
    <w:p w:rsidR="00AB489F" w:rsidRPr="00AB489F" w:rsidRDefault="00AB489F" w:rsidP="007928D8">
      <w:pPr>
        <w:pStyle w:val="a3"/>
        <w:spacing w:after="0"/>
        <w:ind w:firstLine="709"/>
        <w:rPr>
          <w:szCs w:val="28"/>
        </w:rPr>
      </w:pPr>
      <w:r w:rsidRPr="00AB489F">
        <w:rPr>
          <w:szCs w:val="28"/>
        </w:rPr>
        <w:t>5) добровольное лечение от алкогольной (наркотической) зависимости;</w:t>
      </w:r>
    </w:p>
    <w:p w:rsidR="00AB489F" w:rsidRPr="00AB489F" w:rsidRDefault="00AB489F" w:rsidP="007928D8">
      <w:pPr>
        <w:pStyle w:val="a3"/>
        <w:spacing w:after="0"/>
        <w:ind w:firstLine="709"/>
        <w:rPr>
          <w:szCs w:val="28"/>
        </w:rPr>
      </w:pPr>
      <w:r w:rsidRPr="00AB489F">
        <w:rPr>
          <w:szCs w:val="28"/>
        </w:rPr>
        <w:t>6) иные мероприятия, направленные на преодоление трудной жизненной ситуации.</w:t>
      </w:r>
    </w:p>
    <w:p w:rsidR="00AB489F" w:rsidRDefault="00AB489F" w:rsidP="007928D8">
      <w:pPr>
        <w:pStyle w:val="a3"/>
        <w:spacing w:after="0"/>
        <w:ind w:firstLine="709"/>
        <w:rPr>
          <w:szCs w:val="28"/>
        </w:rPr>
      </w:pPr>
      <w:r>
        <w:rPr>
          <w:szCs w:val="28"/>
        </w:rPr>
        <w:t>Помощь в оформление  пакета докумен</w:t>
      </w:r>
      <w:r w:rsidR="007928D8">
        <w:rPr>
          <w:szCs w:val="28"/>
        </w:rPr>
        <w:t>тов оказывается  специалистами к</w:t>
      </w:r>
      <w:r>
        <w:rPr>
          <w:szCs w:val="28"/>
        </w:rPr>
        <w:t>омплексных центров социального обслуживания населения по месту жительства заявителей.</w:t>
      </w:r>
    </w:p>
    <w:p w:rsidR="00AB489F" w:rsidRPr="00291BC0" w:rsidRDefault="00AB489F" w:rsidP="007928D8">
      <w:pPr>
        <w:pStyle w:val="ConsPlusNormal"/>
        <w:ind w:firstLine="709"/>
        <w:rPr>
          <w:rFonts w:ascii="Times New Roman" w:hAnsi="Times New Roman" w:cs="Times New Roman"/>
          <w:sz w:val="28"/>
          <w:szCs w:val="28"/>
          <w:highlight w:val="lightGray"/>
        </w:rPr>
      </w:pPr>
      <w:r w:rsidRPr="00291BC0">
        <w:rPr>
          <w:rFonts w:ascii="Times New Roman" w:hAnsi="Times New Roman" w:cs="Times New Roman"/>
          <w:sz w:val="28"/>
          <w:szCs w:val="28"/>
        </w:rPr>
        <w:t xml:space="preserve">Государственная социальная помощь на основании социального </w:t>
      </w:r>
      <w:r w:rsidRPr="00291BC0">
        <w:rPr>
          <w:rFonts w:ascii="Times New Roman" w:hAnsi="Times New Roman" w:cs="Times New Roman"/>
          <w:sz w:val="28"/>
          <w:szCs w:val="28"/>
        </w:rPr>
        <w:lastRenderedPageBreak/>
        <w:t xml:space="preserve">контракта предоставляется однократно на срок от трех месяцев до одного года исходя из содержания программы социальной адаптации. </w:t>
      </w:r>
    </w:p>
    <w:p w:rsidR="00AB489F" w:rsidRPr="00291BC0" w:rsidRDefault="00AB489F" w:rsidP="007928D8">
      <w:pPr>
        <w:pStyle w:val="ConsPlusNormal"/>
        <w:ind w:firstLine="709"/>
        <w:rPr>
          <w:rFonts w:ascii="Times New Roman" w:hAnsi="Times New Roman" w:cs="Times New Roman"/>
          <w:sz w:val="28"/>
          <w:szCs w:val="28"/>
        </w:rPr>
      </w:pPr>
      <w:r w:rsidRPr="00291BC0">
        <w:rPr>
          <w:rFonts w:ascii="Times New Roman" w:hAnsi="Times New Roman" w:cs="Times New Roman"/>
          <w:sz w:val="28"/>
          <w:szCs w:val="28"/>
        </w:rPr>
        <w:t>Срок действия социального контракта может быть продлен, но не более чем на шесть месяцев, если в период действия социального контракта гражданин (члены его семьи) не выполнили условия социального контракта по не зависящим от них причинам (болезнь, несчастный случай, стихийное бедствие и другие заслуживающие внимания обстоятельства).</w:t>
      </w:r>
    </w:p>
    <w:p w:rsidR="00AB489F" w:rsidRPr="00291BC0" w:rsidRDefault="00AB489F" w:rsidP="007928D8">
      <w:pPr>
        <w:pStyle w:val="ConsPlusNormal"/>
        <w:ind w:firstLine="709"/>
        <w:rPr>
          <w:rFonts w:ascii="Times New Roman" w:hAnsi="Times New Roman" w:cs="Times New Roman"/>
          <w:sz w:val="28"/>
          <w:szCs w:val="28"/>
        </w:rPr>
      </w:pPr>
      <w:r w:rsidRPr="00291BC0">
        <w:rPr>
          <w:rFonts w:ascii="Times New Roman" w:hAnsi="Times New Roman" w:cs="Times New Roman"/>
          <w:sz w:val="28"/>
          <w:szCs w:val="28"/>
        </w:rPr>
        <w:t xml:space="preserve">Гражданин представляет в Министерство </w:t>
      </w:r>
      <w:r w:rsidR="00596B6A">
        <w:rPr>
          <w:rFonts w:ascii="Times New Roman" w:hAnsi="Times New Roman" w:cs="Times New Roman"/>
          <w:sz w:val="28"/>
          <w:szCs w:val="28"/>
        </w:rPr>
        <w:t>о</w:t>
      </w:r>
      <w:r w:rsidRPr="00291BC0">
        <w:rPr>
          <w:rFonts w:ascii="Times New Roman" w:hAnsi="Times New Roman" w:cs="Times New Roman"/>
          <w:sz w:val="28"/>
          <w:szCs w:val="28"/>
        </w:rPr>
        <w:t xml:space="preserve">тчет о выполнении мероприятий программы социальной адаптации с приложением документов, подтверждающих </w:t>
      </w:r>
      <w:r>
        <w:rPr>
          <w:rFonts w:ascii="Times New Roman" w:hAnsi="Times New Roman" w:cs="Times New Roman"/>
          <w:sz w:val="28"/>
          <w:szCs w:val="28"/>
        </w:rPr>
        <w:t xml:space="preserve"> их </w:t>
      </w:r>
      <w:r w:rsidRPr="00291BC0">
        <w:rPr>
          <w:rFonts w:ascii="Times New Roman" w:hAnsi="Times New Roman" w:cs="Times New Roman"/>
          <w:sz w:val="28"/>
          <w:szCs w:val="28"/>
        </w:rPr>
        <w:t>исполнение.</w:t>
      </w:r>
    </w:p>
    <w:p w:rsidR="00AB489F" w:rsidRPr="00291BC0" w:rsidRDefault="00AB489F" w:rsidP="007928D8">
      <w:pPr>
        <w:pStyle w:val="ConsPlusNormal"/>
        <w:ind w:firstLine="709"/>
        <w:rPr>
          <w:rFonts w:ascii="Times New Roman" w:hAnsi="Times New Roman" w:cs="Times New Roman"/>
          <w:sz w:val="28"/>
          <w:szCs w:val="28"/>
        </w:rPr>
      </w:pPr>
      <w:bookmarkStart w:id="1" w:name="P89"/>
      <w:bookmarkStart w:id="2" w:name="P93"/>
      <w:bookmarkEnd w:id="1"/>
      <w:bookmarkEnd w:id="2"/>
      <w:r w:rsidRPr="00291BC0">
        <w:rPr>
          <w:rFonts w:ascii="Times New Roman" w:hAnsi="Times New Roman" w:cs="Times New Roman"/>
          <w:sz w:val="28"/>
          <w:szCs w:val="28"/>
        </w:rPr>
        <w:t xml:space="preserve">Бюджетные средства на оказание государственной социальной помощи на основании социального контракта </w:t>
      </w:r>
      <w:proofErr w:type="gramStart"/>
      <w:r w:rsidRPr="00291BC0">
        <w:rPr>
          <w:rFonts w:ascii="Times New Roman" w:hAnsi="Times New Roman" w:cs="Times New Roman"/>
          <w:sz w:val="28"/>
          <w:szCs w:val="28"/>
        </w:rPr>
        <w:t>носят целевой характер и не могут</w:t>
      </w:r>
      <w:proofErr w:type="gramEnd"/>
      <w:r w:rsidRPr="00291BC0">
        <w:rPr>
          <w:rFonts w:ascii="Times New Roman" w:hAnsi="Times New Roman" w:cs="Times New Roman"/>
          <w:sz w:val="28"/>
          <w:szCs w:val="28"/>
        </w:rPr>
        <w:t xml:space="preserve"> быть использованы гражданином на </w:t>
      </w:r>
      <w:r w:rsidR="00596B6A">
        <w:rPr>
          <w:rFonts w:ascii="Times New Roman" w:hAnsi="Times New Roman" w:cs="Times New Roman"/>
          <w:sz w:val="28"/>
          <w:szCs w:val="28"/>
        </w:rPr>
        <w:t xml:space="preserve">иные </w:t>
      </w:r>
      <w:r w:rsidRPr="00291BC0">
        <w:rPr>
          <w:rFonts w:ascii="Times New Roman" w:hAnsi="Times New Roman" w:cs="Times New Roman"/>
          <w:sz w:val="28"/>
          <w:szCs w:val="28"/>
        </w:rPr>
        <w:t>цели.</w:t>
      </w:r>
    </w:p>
    <w:p w:rsidR="00AB489F" w:rsidRPr="00AB489F" w:rsidRDefault="00AB489F" w:rsidP="007928D8">
      <w:pPr>
        <w:pStyle w:val="ConsPlusNormal"/>
        <w:ind w:firstLine="709"/>
        <w:rPr>
          <w:rFonts w:ascii="Times New Roman" w:hAnsi="Times New Roman" w:cs="Times New Roman"/>
          <w:sz w:val="28"/>
          <w:szCs w:val="28"/>
        </w:rPr>
      </w:pPr>
      <w:r w:rsidRPr="00AB489F">
        <w:rPr>
          <w:rFonts w:ascii="Times New Roman" w:hAnsi="Times New Roman" w:cs="Times New Roman"/>
          <w:sz w:val="28"/>
          <w:szCs w:val="28"/>
        </w:rPr>
        <w:t>Министерство в одностороннем порядке прекращает оказание государственной социальной помощи на основании социального контракта (расторгает социальный контракт) в случае:</w:t>
      </w:r>
    </w:p>
    <w:p w:rsidR="00AB489F" w:rsidRPr="00AB489F" w:rsidRDefault="00AB489F" w:rsidP="007928D8">
      <w:pPr>
        <w:pStyle w:val="ConsPlusNormal"/>
        <w:ind w:firstLine="709"/>
        <w:rPr>
          <w:rFonts w:ascii="Times New Roman" w:hAnsi="Times New Roman" w:cs="Times New Roman"/>
          <w:sz w:val="28"/>
          <w:szCs w:val="28"/>
        </w:rPr>
      </w:pPr>
      <w:r w:rsidRPr="00AB489F">
        <w:rPr>
          <w:rFonts w:ascii="Times New Roman" w:hAnsi="Times New Roman" w:cs="Times New Roman"/>
          <w:sz w:val="28"/>
          <w:szCs w:val="28"/>
        </w:rPr>
        <w:t>1) невыполнения гражданином мероприятий, предусмотренных программой социальной адаптации;</w:t>
      </w:r>
    </w:p>
    <w:p w:rsidR="00AB489F" w:rsidRPr="00AB489F" w:rsidRDefault="00AB489F" w:rsidP="007928D8">
      <w:pPr>
        <w:pStyle w:val="ConsPlusNormal"/>
        <w:ind w:firstLine="709"/>
        <w:rPr>
          <w:rFonts w:ascii="Times New Roman" w:hAnsi="Times New Roman" w:cs="Times New Roman"/>
          <w:sz w:val="28"/>
          <w:szCs w:val="28"/>
        </w:rPr>
      </w:pPr>
      <w:r w:rsidRPr="00AB489F">
        <w:rPr>
          <w:rFonts w:ascii="Times New Roman" w:hAnsi="Times New Roman" w:cs="Times New Roman"/>
          <w:sz w:val="28"/>
          <w:szCs w:val="28"/>
        </w:rPr>
        <w:t>2) выявления фактов, свидетельствующих об отсутствии у гражданина права на получение государственной социальной помощи на основании социального контракта;</w:t>
      </w:r>
    </w:p>
    <w:p w:rsidR="00AB489F" w:rsidRPr="00AB489F" w:rsidRDefault="00AB489F" w:rsidP="007928D8">
      <w:pPr>
        <w:pStyle w:val="ConsPlusNormal"/>
        <w:ind w:firstLine="709"/>
        <w:rPr>
          <w:rFonts w:ascii="Times New Roman" w:hAnsi="Times New Roman" w:cs="Times New Roman"/>
          <w:sz w:val="28"/>
          <w:szCs w:val="28"/>
        </w:rPr>
      </w:pPr>
      <w:r w:rsidRPr="00AB489F">
        <w:rPr>
          <w:rFonts w:ascii="Times New Roman" w:hAnsi="Times New Roman" w:cs="Times New Roman"/>
          <w:sz w:val="28"/>
          <w:szCs w:val="28"/>
        </w:rPr>
        <w:t>3) выявления фактов предоставления гражданином заведомо недостоверной (ложной) информации, влияющей на получение государственной социальной помощи на основании социального контракта;</w:t>
      </w:r>
    </w:p>
    <w:p w:rsidR="00AB489F" w:rsidRPr="00AB489F" w:rsidRDefault="00AB489F" w:rsidP="007928D8">
      <w:pPr>
        <w:pStyle w:val="ConsPlusNormal"/>
        <w:ind w:firstLine="709"/>
        <w:rPr>
          <w:rFonts w:ascii="Times New Roman" w:hAnsi="Times New Roman" w:cs="Times New Roman"/>
          <w:sz w:val="28"/>
          <w:szCs w:val="28"/>
        </w:rPr>
      </w:pPr>
      <w:r w:rsidRPr="00AB489F">
        <w:rPr>
          <w:rFonts w:ascii="Times New Roman" w:hAnsi="Times New Roman" w:cs="Times New Roman"/>
          <w:sz w:val="28"/>
          <w:szCs w:val="28"/>
        </w:rPr>
        <w:t>4) использования гражданином единовременной денежной выплаты на иные цели и мероприятия, не предусмотренные заключенным социальным контрактом.</w:t>
      </w:r>
    </w:p>
    <w:p w:rsidR="00AB489F" w:rsidRDefault="00AB489F" w:rsidP="007928D8">
      <w:pPr>
        <w:pStyle w:val="ConsPlusNormal"/>
        <w:ind w:firstLine="709"/>
        <w:rPr>
          <w:rFonts w:ascii="Times New Roman" w:hAnsi="Times New Roman" w:cs="Times New Roman"/>
          <w:sz w:val="28"/>
          <w:szCs w:val="28"/>
        </w:rPr>
      </w:pPr>
      <w:r w:rsidRPr="00291BC0">
        <w:rPr>
          <w:rFonts w:ascii="Times New Roman" w:hAnsi="Times New Roman" w:cs="Times New Roman"/>
          <w:sz w:val="28"/>
          <w:szCs w:val="28"/>
        </w:rPr>
        <w:t>В случае установления оснований для прекращения действия социального контракта,</w:t>
      </w:r>
      <w:r w:rsidR="00213F5C">
        <w:rPr>
          <w:rFonts w:ascii="Times New Roman" w:hAnsi="Times New Roman" w:cs="Times New Roman"/>
          <w:sz w:val="28"/>
          <w:szCs w:val="28"/>
        </w:rPr>
        <w:t xml:space="preserve"> </w:t>
      </w:r>
      <w:r w:rsidRPr="00291BC0">
        <w:rPr>
          <w:rFonts w:ascii="Times New Roman" w:hAnsi="Times New Roman" w:cs="Times New Roman"/>
          <w:sz w:val="28"/>
          <w:szCs w:val="28"/>
        </w:rPr>
        <w:t>денежные средства возвращаются гражданином добровольно либо взыскиваются в судебном порядке.</w:t>
      </w:r>
    </w:p>
    <w:p w:rsidR="002851F2" w:rsidRDefault="00EE2E38" w:rsidP="00EE2E38">
      <w:pPr>
        <w:ind w:firstLine="708"/>
        <w:rPr>
          <w:szCs w:val="28"/>
        </w:rPr>
      </w:pPr>
      <w:r>
        <w:rPr>
          <w:szCs w:val="28"/>
        </w:rPr>
        <w:t xml:space="preserve">Материальная помощь, в том числе на основании социального контракта, </w:t>
      </w:r>
      <w:proofErr w:type="gramStart"/>
      <w:r>
        <w:rPr>
          <w:szCs w:val="28"/>
        </w:rPr>
        <w:t>оказывается</w:t>
      </w:r>
      <w:proofErr w:type="gramEnd"/>
      <w:r>
        <w:rPr>
          <w:szCs w:val="28"/>
        </w:rPr>
        <w:t xml:space="preserve"> по обращению</w:t>
      </w:r>
      <w:r w:rsidRPr="00B614E5">
        <w:rPr>
          <w:szCs w:val="28"/>
        </w:rPr>
        <w:t xml:space="preserve"> </w:t>
      </w:r>
      <w:r>
        <w:rPr>
          <w:szCs w:val="28"/>
        </w:rPr>
        <w:t>граждан</w:t>
      </w:r>
      <w:r w:rsidR="002851F2">
        <w:rPr>
          <w:szCs w:val="28"/>
        </w:rPr>
        <w:t xml:space="preserve">. </w:t>
      </w:r>
    </w:p>
    <w:p w:rsidR="00B37A38" w:rsidRDefault="007928D8" w:rsidP="00B37A38">
      <w:pPr>
        <w:ind w:firstLine="720"/>
        <w:rPr>
          <w:szCs w:val="28"/>
        </w:rPr>
      </w:pPr>
      <w:proofErr w:type="gramStart"/>
      <w:r>
        <w:rPr>
          <w:szCs w:val="28"/>
        </w:rPr>
        <w:t xml:space="preserve">Невысокий уровень </w:t>
      </w:r>
      <w:r w:rsidR="00B37A38">
        <w:rPr>
          <w:szCs w:val="28"/>
        </w:rPr>
        <w:t xml:space="preserve">показателя </w:t>
      </w:r>
      <w:r w:rsidR="00B37A38" w:rsidRPr="002851F2">
        <w:rPr>
          <w:szCs w:val="28"/>
        </w:rPr>
        <w:t>дол</w:t>
      </w:r>
      <w:r w:rsidR="00B37A38">
        <w:rPr>
          <w:szCs w:val="28"/>
        </w:rPr>
        <w:t>и</w:t>
      </w:r>
      <w:r w:rsidR="00B37A38" w:rsidRPr="002851F2">
        <w:rPr>
          <w:szCs w:val="28"/>
        </w:rPr>
        <w:t xml:space="preserve"> малоимущих граждан, получивших государственную социальную помощь на основании социального контракта (процентов от общей численности получателей гос</w:t>
      </w:r>
      <w:r w:rsidR="00B37A38">
        <w:rPr>
          <w:szCs w:val="28"/>
        </w:rPr>
        <w:t>ударственной социальной помощи) в Камчатском крае</w:t>
      </w:r>
      <w:r w:rsidR="0060153F">
        <w:rPr>
          <w:szCs w:val="28"/>
        </w:rPr>
        <w:t>,</w:t>
      </w:r>
      <w:r w:rsidR="00B37A38">
        <w:rPr>
          <w:szCs w:val="28"/>
        </w:rPr>
        <w:t xml:space="preserve"> связано с ограниченны</w:t>
      </w:r>
      <w:r w:rsidR="00E953D3">
        <w:rPr>
          <w:szCs w:val="28"/>
        </w:rPr>
        <w:t>ми</w:t>
      </w:r>
      <w:r w:rsidR="00B37A38">
        <w:rPr>
          <w:szCs w:val="28"/>
        </w:rPr>
        <w:t xml:space="preserve"> возможност</w:t>
      </w:r>
      <w:r w:rsidR="00E953D3">
        <w:rPr>
          <w:szCs w:val="28"/>
        </w:rPr>
        <w:t>ями</w:t>
      </w:r>
      <w:r w:rsidR="00B37A38">
        <w:rPr>
          <w:szCs w:val="28"/>
        </w:rPr>
        <w:t xml:space="preserve"> краевого бюджета и неуменьшающ</w:t>
      </w:r>
      <w:r w:rsidR="00E953D3">
        <w:rPr>
          <w:szCs w:val="28"/>
        </w:rPr>
        <w:t>им</w:t>
      </w:r>
      <w:r w:rsidR="00B37A38">
        <w:rPr>
          <w:szCs w:val="28"/>
        </w:rPr>
        <w:t>ся количество</w:t>
      </w:r>
      <w:r w:rsidR="00E953D3">
        <w:rPr>
          <w:szCs w:val="28"/>
        </w:rPr>
        <w:t>м</w:t>
      </w:r>
      <w:r w:rsidR="00B37A38">
        <w:rPr>
          <w:szCs w:val="28"/>
        </w:rPr>
        <w:t xml:space="preserve"> нуждающихся граждан, обращающихся за оказанием материальной помощи, невысоким средним размером выплат</w:t>
      </w:r>
      <w:r w:rsidR="00E953D3">
        <w:rPr>
          <w:szCs w:val="28"/>
        </w:rPr>
        <w:t xml:space="preserve"> по соц</w:t>
      </w:r>
      <w:r w:rsidR="00666272">
        <w:rPr>
          <w:szCs w:val="28"/>
        </w:rPr>
        <w:t xml:space="preserve">иальному </w:t>
      </w:r>
      <w:r w:rsidR="00E953D3">
        <w:rPr>
          <w:szCs w:val="28"/>
        </w:rPr>
        <w:t>контракту</w:t>
      </w:r>
      <w:r w:rsidR="00B37A38">
        <w:rPr>
          <w:szCs w:val="28"/>
        </w:rPr>
        <w:t>,  не позволяющим реально повысить уровень  дохода семей,  выйти им из трудной жизненной</w:t>
      </w:r>
      <w:proofErr w:type="gramEnd"/>
      <w:r w:rsidR="00B37A38">
        <w:rPr>
          <w:szCs w:val="28"/>
        </w:rPr>
        <w:t xml:space="preserve"> ситуации на </w:t>
      </w:r>
      <w:proofErr w:type="spellStart"/>
      <w:r w:rsidR="00B37A38">
        <w:rPr>
          <w:szCs w:val="28"/>
        </w:rPr>
        <w:t>самообеспечение</w:t>
      </w:r>
      <w:proofErr w:type="spellEnd"/>
      <w:r w:rsidR="00B37A38">
        <w:rPr>
          <w:szCs w:val="28"/>
        </w:rPr>
        <w:t>.</w:t>
      </w:r>
    </w:p>
    <w:p w:rsidR="00666272" w:rsidRDefault="00666272" w:rsidP="00B37A38">
      <w:pPr>
        <w:ind w:firstLine="720"/>
        <w:rPr>
          <w:szCs w:val="28"/>
        </w:rPr>
      </w:pPr>
      <w:r>
        <w:rPr>
          <w:szCs w:val="28"/>
        </w:rPr>
        <w:t>Аналогичная ситуация характерна для других регионов страны. Вопрос «Содействия развитию практики социального контракта в субъектах Российской Федерации» рассматривался Комитетом Совета Федерации по регламенту и организации парламентской деятельности.</w:t>
      </w:r>
      <w:r w:rsidR="004861BE">
        <w:rPr>
          <w:szCs w:val="28"/>
        </w:rPr>
        <w:t xml:space="preserve"> В 2020 году   в 20 регионах страны проводится пилотный проект, направленный на </w:t>
      </w:r>
      <w:r w:rsidR="004861BE">
        <w:rPr>
          <w:szCs w:val="28"/>
        </w:rPr>
        <w:lastRenderedPageBreak/>
        <w:t>совершенствования механизма  оказания государственной помощи на основании социа</w:t>
      </w:r>
      <w:r w:rsidR="005E0790">
        <w:rPr>
          <w:szCs w:val="28"/>
        </w:rPr>
        <w:t xml:space="preserve">льного контракта,  при условии </w:t>
      </w:r>
      <w:proofErr w:type="spellStart"/>
      <w:r w:rsidR="005E0790">
        <w:rPr>
          <w:szCs w:val="28"/>
        </w:rPr>
        <w:t>софинансрования</w:t>
      </w:r>
      <w:proofErr w:type="spellEnd"/>
      <w:r w:rsidR="005E0790">
        <w:rPr>
          <w:szCs w:val="28"/>
        </w:rPr>
        <w:t xml:space="preserve"> федеральным бюджетом  региональных бюджетов.</w:t>
      </w:r>
    </w:p>
    <w:p w:rsidR="004861BE" w:rsidRDefault="004861BE" w:rsidP="004861BE">
      <w:pPr>
        <w:ind w:firstLine="708"/>
        <w:rPr>
          <w:szCs w:val="28"/>
        </w:rPr>
      </w:pPr>
      <w:r w:rsidRPr="00370F1E">
        <w:rPr>
          <w:szCs w:val="28"/>
        </w:rPr>
        <w:t xml:space="preserve">В соответствии с Посланием Президента </w:t>
      </w:r>
      <w:r w:rsidR="00CA64A4">
        <w:rPr>
          <w:szCs w:val="28"/>
        </w:rPr>
        <w:t>Р</w:t>
      </w:r>
      <w:r w:rsidRPr="00370F1E">
        <w:rPr>
          <w:szCs w:val="28"/>
        </w:rPr>
        <w:t xml:space="preserve">оссийской Федерации в 2020 году эта работа </w:t>
      </w:r>
      <w:r w:rsidR="005E0790">
        <w:rPr>
          <w:szCs w:val="28"/>
        </w:rPr>
        <w:t xml:space="preserve"> в Камчатском крае </w:t>
      </w:r>
      <w:r w:rsidRPr="00370F1E">
        <w:rPr>
          <w:szCs w:val="28"/>
        </w:rPr>
        <w:t xml:space="preserve">будет активизирована в части </w:t>
      </w:r>
      <w:r>
        <w:rPr>
          <w:szCs w:val="28"/>
        </w:rPr>
        <w:t xml:space="preserve">расширения сферы применения и повышения эффективности  социального контракта, в том числе  </w:t>
      </w:r>
      <w:r w:rsidRPr="00370F1E">
        <w:rPr>
          <w:szCs w:val="28"/>
        </w:rPr>
        <w:t>увеличения категорий граждан, имеющих на нее право, целей направления денежных средств, так и размеров выплат.</w:t>
      </w:r>
    </w:p>
    <w:p w:rsidR="00D76CE6" w:rsidRDefault="00D76CE6" w:rsidP="00D76CE6">
      <w:pPr>
        <w:ind w:firstLine="709"/>
        <w:rPr>
          <w:szCs w:val="28"/>
        </w:rPr>
      </w:pPr>
      <w:r>
        <w:rPr>
          <w:szCs w:val="28"/>
        </w:rPr>
        <w:t xml:space="preserve">В соответствии с Соглашением с Минфином РФ на предоставление социального контракта в 2021 году в Камчатскому краю предусмотрено выделение 79,0 млн. рублей на условии </w:t>
      </w:r>
      <w:proofErr w:type="spellStart"/>
      <w:r>
        <w:rPr>
          <w:szCs w:val="28"/>
        </w:rPr>
        <w:t>софинансирования</w:t>
      </w:r>
      <w:proofErr w:type="spellEnd"/>
      <w:r>
        <w:rPr>
          <w:szCs w:val="28"/>
        </w:rPr>
        <w:t xml:space="preserve"> (</w:t>
      </w:r>
      <w:proofErr w:type="gramStart"/>
      <w:r>
        <w:rPr>
          <w:szCs w:val="28"/>
        </w:rPr>
        <w:t>из</w:t>
      </w:r>
      <w:proofErr w:type="gramEnd"/>
      <w:r>
        <w:rPr>
          <w:szCs w:val="28"/>
        </w:rPr>
        <w:t xml:space="preserve"> расчет 95% - федеральный бюджет, 5% - краевой). </w:t>
      </w:r>
    </w:p>
    <w:p w:rsidR="005E0790" w:rsidRDefault="00E07236" w:rsidP="00E07236">
      <w:pPr>
        <w:ind w:firstLine="720"/>
        <w:rPr>
          <w:szCs w:val="28"/>
        </w:rPr>
      </w:pPr>
      <w:r>
        <w:rPr>
          <w:szCs w:val="28"/>
        </w:rPr>
        <w:t>В целях увеличения показателя «Д</w:t>
      </w:r>
      <w:r w:rsidRPr="002851F2">
        <w:rPr>
          <w:szCs w:val="28"/>
        </w:rPr>
        <w:t>ол</w:t>
      </w:r>
      <w:r>
        <w:rPr>
          <w:szCs w:val="28"/>
        </w:rPr>
        <w:t>я</w:t>
      </w:r>
      <w:r w:rsidRPr="002851F2">
        <w:rPr>
          <w:szCs w:val="28"/>
        </w:rPr>
        <w:t xml:space="preserve"> малоимущих граждан, получивших государственную социальную помощь на основании социального контракта</w:t>
      </w:r>
      <w:r>
        <w:rPr>
          <w:szCs w:val="28"/>
        </w:rPr>
        <w:t xml:space="preserve">» </w:t>
      </w:r>
      <w:r w:rsidR="00F35D83">
        <w:rPr>
          <w:szCs w:val="28"/>
        </w:rPr>
        <w:t xml:space="preserve">в категорию </w:t>
      </w:r>
      <w:proofErr w:type="gramStart"/>
      <w:r w:rsidR="00F35D83">
        <w:rPr>
          <w:szCs w:val="28"/>
        </w:rPr>
        <w:t xml:space="preserve">граждан, имеющих право на  получение социальной помощи  </w:t>
      </w:r>
      <w:r>
        <w:rPr>
          <w:szCs w:val="28"/>
        </w:rPr>
        <w:t>на основании социального контракта</w:t>
      </w:r>
      <w:r w:rsidR="00F35D83">
        <w:rPr>
          <w:szCs w:val="28"/>
        </w:rPr>
        <w:t xml:space="preserve"> дополнительно </w:t>
      </w:r>
      <w:r w:rsidR="00BA693F">
        <w:rPr>
          <w:szCs w:val="28"/>
        </w:rPr>
        <w:t>планируется</w:t>
      </w:r>
      <w:proofErr w:type="gramEnd"/>
      <w:r w:rsidR="00BA693F">
        <w:rPr>
          <w:szCs w:val="28"/>
        </w:rPr>
        <w:t xml:space="preserve"> </w:t>
      </w:r>
      <w:r w:rsidR="00F35D83">
        <w:rPr>
          <w:szCs w:val="28"/>
        </w:rPr>
        <w:t>включ</w:t>
      </w:r>
      <w:r w:rsidR="00BA693F">
        <w:rPr>
          <w:szCs w:val="28"/>
        </w:rPr>
        <w:t xml:space="preserve">ить </w:t>
      </w:r>
      <w:r w:rsidR="00A545CB">
        <w:rPr>
          <w:szCs w:val="28"/>
        </w:rPr>
        <w:t>малоимущи</w:t>
      </w:r>
      <w:r w:rsidR="00BA693F">
        <w:rPr>
          <w:szCs w:val="28"/>
        </w:rPr>
        <w:t>х</w:t>
      </w:r>
      <w:r w:rsidR="00A545CB">
        <w:rPr>
          <w:szCs w:val="28"/>
        </w:rPr>
        <w:t xml:space="preserve"> граждан на приобретение мебели, сложно</w:t>
      </w:r>
      <w:r w:rsidR="00E71EC5">
        <w:rPr>
          <w:szCs w:val="28"/>
        </w:rPr>
        <w:t xml:space="preserve">й </w:t>
      </w:r>
      <w:r w:rsidR="00A545CB">
        <w:rPr>
          <w:szCs w:val="28"/>
        </w:rPr>
        <w:t>бытовой техники</w:t>
      </w:r>
      <w:r w:rsidR="005E0790">
        <w:rPr>
          <w:szCs w:val="28"/>
        </w:rPr>
        <w:t>. Т</w:t>
      </w:r>
      <w:r w:rsidR="00A545CB">
        <w:rPr>
          <w:szCs w:val="28"/>
        </w:rPr>
        <w:t xml:space="preserve">акже </w:t>
      </w:r>
      <w:r w:rsidR="005E0790">
        <w:rPr>
          <w:szCs w:val="28"/>
        </w:rPr>
        <w:t xml:space="preserve">к оказанию государственной социальной помощи на основании </w:t>
      </w:r>
      <w:proofErr w:type="spellStart"/>
      <w:r w:rsidR="005E0790">
        <w:rPr>
          <w:szCs w:val="28"/>
        </w:rPr>
        <w:t>соцконтракта</w:t>
      </w:r>
      <w:proofErr w:type="spellEnd"/>
      <w:r w:rsidR="005E0790">
        <w:rPr>
          <w:szCs w:val="28"/>
        </w:rPr>
        <w:t xml:space="preserve"> планируется привлечь Министерство образования Камчатского края,  </w:t>
      </w:r>
      <w:r w:rsidR="009D66D9">
        <w:rPr>
          <w:szCs w:val="28"/>
        </w:rPr>
        <w:t xml:space="preserve"> </w:t>
      </w:r>
      <w:r w:rsidR="00E71EC5">
        <w:rPr>
          <w:szCs w:val="28"/>
        </w:rPr>
        <w:t>Министерство</w:t>
      </w:r>
      <w:r w:rsidR="009D66D9">
        <w:rPr>
          <w:szCs w:val="28"/>
        </w:rPr>
        <w:t xml:space="preserve"> по занято</w:t>
      </w:r>
      <w:r w:rsidR="005E0790">
        <w:rPr>
          <w:szCs w:val="28"/>
        </w:rPr>
        <w:t>сти населения  Камчатского края, Агентства инвестиций и предпринимательства Камчатского края.</w:t>
      </w:r>
    </w:p>
    <w:p w:rsidR="00A328C1" w:rsidRDefault="00A328C1" w:rsidP="00E07236">
      <w:pPr>
        <w:ind w:firstLine="709"/>
        <w:rPr>
          <w:szCs w:val="28"/>
        </w:rPr>
      </w:pPr>
    </w:p>
    <w:p w:rsidR="00A328C1" w:rsidRDefault="00A328C1" w:rsidP="00E07236">
      <w:pPr>
        <w:ind w:firstLine="709"/>
        <w:rPr>
          <w:szCs w:val="28"/>
        </w:rPr>
      </w:pPr>
    </w:p>
    <w:p w:rsidR="00A328C1" w:rsidRDefault="00A328C1" w:rsidP="00E07236">
      <w:pPr>
        <w:ind w:firstLine="709"/>
        <w:rPr>
          <w:szCs w:val="28"/>
        </w:rPr>
      </w:pPr>
    </w:p>
    <w:p w:rsidR="00A328C1" w:rsidRDefault="009D66D9" w:rsidP="00D76CE6">
      <w:pPr>
        <w:spacing w:after="160" w:line="256" w:lineRule="auto"/>
        <w:ind w:firstLine="0"/>
        <w:jc w:val="center"/>
        <w:rPr>
          <w:szCs w:val="28"/>
        </w:rPr>
      </w:pPr>
      <w:r>
        <w:rPr>
          <w:rFonts w:eastAsia="Calibri"/>
          <w:b/>
          <w:sz w:val="24"/>
          <w:szCs w:val="24"/>
          <w:lang w:eastAsia="en-US"/>
        </w:rPr>
        <w:tab/>
      </w:r>
      <w:r>
        <w:rPr>
          <w:rFonts w:eastAsia="Calibri"/>
          <w:b/>
          <w:sz w:val="24"/>
          <w:szCs w:val="24"/>
          <w:lang w:eastAsia="en-US"/>
        </w:rPr>
        <w:tab/>
      </w:r>
      <w:r>
        <w:rPr>
          <w:rFonts w:eastAsia="Calibri"/>
          <w:b/>
          <w:sz w:val="24"/>
          <w:szCs w:val="24"/>
          <w:lang w:eastAsia="en-US"/>
        </w:rPr>
        <w:tab/>
      </w:r>
    </w:p>
    <w:p w:rsidR="00EE2E38" w:rsidRDefault="00EE2E38" w:rsidP="00EE2E38">
      <w:pPr>
        <w:ind w:firstLine="720"/>
        <w:rPr>
          <w:szCs w:val="28"/>
        </w:rPr>
      </w:pPr>
    </w:p>
    <w:p w:rsidR="00EE2E38" w:rsidRDefault="00EE2E38"/>
    <w:sectPr w:rsidR="00EE2E38" w:rsidSect="0016749F">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9F"/>
    <w:rsid w:val="00037681"/>
    <w:rsid w:val="00141488"/>
    <w:rsid w:val="0016749F"/>
    <w:rsid w:val="00176DF7"/>
    <w:rsid w:val="001A23CC"/>
    <w:rsid w:val="001B30DC"/>
    <w:rsid w:val="00213F5C"/>
    <w:rsid w:val="00237D33"/>
    <w:rsid w:val="00265BBC"/>
    <w:rsid w:val="00270254"/>
    <w:rsid w:val="002851F2"/>
    <w:rsid w:val="0028661A"/>
    <w:rsid w:val="002E1722"/>
    <w:rsid w:val="004861BE"/>
    <w:rsid w:val="004C6528"/>
    <w:rsid w:val="005345B1"/>
    <w:rsid w:val="005558BE"/>
    <w:rsid w:val="0057286A"/>
    <w:rsid w:val="00596B6A"/>
    <w:rsid w:val="005E0790"/>
    <w:rsid w:val="0060153F"/>
    <w:rsid w:val="0062293C"/>
    <w:rsid w:val="00641574"/>
    <w:rsid w:val="00666272"/>
    <w:rsid w:val="006F07DF"/>
    <w:rsid w:val="007311DB"/>
    <w:rsid w:val="00731D43"/>
    <w:rsid w:val="007928D8"/>
    <w:rsid w:val="007F5D41"/>
    <w:rsid w:val="00810E31"/>
    <w:rsid w:val="00817510"/>
    <w:rsid w:val="0088332C"/>
    <w:rsid w:val="00893C3F"/>
    <w:rsid w:val="009060D8"/>
    <w:rsid w:val="009D66D9"/>
    <w:rsid w:val="00A023BB"/>
    <w:rsid w:val="00A10FD0"/>
    <w:rsid w:val="00A11C73"/>
    <w:rsid w:val="00A12E54"/>
    <w:rsid w:val="00A328C1"/>
    <w:rsid w:val="00A40598"/>
    <w:rsid w:val="00A545CB"/>
    <w:rsid w:val="00A72348"/>
    <w:rsid w:val="00A812A7"/>
    <w:rsid w:val="00AB1907"/>
    <w:rsid w:val="00AB489F"/>
    <w:rsid w:val="00AE44A5"/>
    <w:rsid w:val="00AF2E56"/>
    <w:rsid w:val="00B37A38"/>
    <w:rsid w:val="00B40C79"/>
    <w:rsid w:val="00B4229A"/>
    <w:rsid w:val="00B45BD2"/>
    <w:rsid w:val="00B60355"/>
    <w:rsid w:val="00B614E5"/>
    <w:rsid w:val="00BA693F"/>
    <w:rsid w:val="00C71097"/>
    <w:rsid w:val="00CA1605"/>
    <w:rsid w:val="00CA64A4"/>
    <w:rsid w:val="00D353A3"/>
    <w:rsid w:val="00D76CE6"/>
    <w:rsid w:val="00D93E82"/>
    <w:rsid w:val="00DA42F2"/>
    <w:rsid w:val="00E07236"/>
    <w:rsid w:val="00E71EC5"/>
    <w:rsid w:val="00E953D3"/>
    <w:rsid w:val="00ED0303"/>
    <w:rsid w:val="00EE2E38"/>
    <w:rsid w:val="00F22A16"/>
    <w:rsid w:val="00F35D83"/>
    <w:rsid w:val="00F54AC8"/>
    <w:rsid w:val="00FB59BF"/>
    <w:rsid w:val="00FF0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9F"/>
    <w:pPr>
      <w:spacing w:after="0" w:line="240" w:lineRule="auto"/>
      <w:ind w:firstLine="53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B489F"/>
    <w:pPr>
      <w:spacing w:after="120"/>
    </w:pPr>
  </w:style>
  <w:style w:type="character" w:customStyle="1" w:styleId="a4">
    <w:name w:val="Основной текст Знак"/>
    <w:basedOn w:val="a0"/>
    <w:link w:val="a3"/>
    <w:rsid w:val="00AB489F"/>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AB489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rsid w:val="00AB489F"/>
    <w:rPr>
      <w:rFonts w:ascii="Arial" w:eastAsia="Times New Roman" w:hAnsi="Arial" w:cs="Arial"/>
      <w:sz w:val="20"/>
      <w:szCs w:val="20"/>
      <w:lang w:eastAsia="ru-RU"/>
    </w:rPr>
  </w:style>
  <w:style w:type="character" w:styleId="a5">
    <w:name w:val="Hyperlink"/>
    <w:basedOn w:val="a0"/>
    <w:uiPriority w:val="99"/>
    <w:semiHidden/>
    <w:unhideWhenUsed/>
    <w:rsid w:val="00B614E5"/>
    <w:rPr>
      <w:color w:val="0000FF"/>
      <w:u w:val="single"/>
    </w:rPr>
  </w:style>
  <w:style w:type="paragraph" w:styleId="a6">
    <w:name w:val="Balloon Text"/>
    <w:basedOn w:val="a"/>
    <w:link w:val="a7"/>
    <w:uiPriority w:val="99"/>
    <w:semiHidden/>
    <w:unhideWhenUsed/>
    <w:rsid w:val="00265BBC"/>
    <w:rPr>
      <w:rFonts w:ascii="Tahoma" w:hAnsi="Tahoma" w:cs="Tahoma"/>
      <w:sz w:val="16"/>
      <w:szCs w:val="16"/>
    </w:rPr>
  </w:style>
  <w:style w:type="character" w:customStyle="1" w:styleId="a7">
    <w:name w:val="Текст выноски Знак"/>
    <w:basedOn w:val="a0"/>
    <w:link w:val="a6"/>
    <w:uiPriority w:val="99"/>
    <w:semiHidden/>
    <w:rsid w:val="00265BBC"/>
    <w:rPr>
      <w:rFonts w:ascii="Tahoma" w:eastAsia="Times New Roman" w:hAnsi="Tahoma" w:cs="Tahoma"/>
      <w:sz w:val="16"/>
      <w:szCs w:val="16"/>
      <w:lang w:eastAsia="ru-RU"/>
    </w:rPr>
  </w:style>
  <w:style w:type="table" w:styleId="a8">
    <w:name w:val="Table Grid"/>
    <w:basedOn w:val="a1"/>
    <w:uiPriority w:val="59"/>
    <w:rsid w:val="00285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A328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9F"/>
    <w:pPr>
      <w:spacing w:after="0" w:line="240" w:lineRule="auto"/>
      <w:ind w:firstLine="53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B489F"/>
    <w:pPr>
      <w:spacing w:after="120"/>
    </w:pPr>
  </w:style>
  <w:style w:type="character" w:customStyle="1" w:styleId="a4">
    <w:name w:val="Основной текст Знак"/>
    <w:basedOn w:val="a0"/>
    <w:link w:val="a3"/>
    <w:rsid w:val="00AB489F"/>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AB489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rsid w:val="00AB489F"/>
    <w:rPr>
      <w:rFonts w:ascii="Arial" w:eastAsia="Times New Roman" w:hAnsi="Arial" w:cs="Arial"/>
      <w:sz w:val="20"/>
      <w:szCs w:val="20"/>
      <w:lang w:eastAsia="ru-RU"/>
    </w:rPr>
  </w:style>
  <w:style w:type="character" w:styleId="a5">
    <w:name w:val="Hyperlink"/>
    <w:basedOn w:val="a0"/>
    <w:uiPriority w:val="99"/>
    <w:semiHidden/>
    <w:unhideWhenUsed/>
    <w:rsid w:val="00B614E5"/>
    <w:rPr>
      <w:color w:val="0000FF"/>
      <w:u w:val="single"/>
    </w:rPr>
  </w:style>
  <w:style w:type="paragraph" w:styleId="a6">
    <w:name w:val="Balloon Text"/>
    <w:basedOn w:val="a"/>
    <w:link w:val="a7"/>
    <w:uiPriority w:val="99"/>
    <w:semiHidden/>
    <w:unhideWhenUsed/>
    <w:rsid w:val="00265BBC"/>
    <w:rPr>
      <w:rFonts w:ascii="Tahoma" w:hAnsi="Tahoma" w:cs="Tahoma"/>
      <w:sz w:val="16"/>
      <w:szCs w:val="16"/>
    </w:rPr>
  </w:style>
  <w:style w:type="character" w:customStyle="1" w:styleId="a7">
    <w:name w:val="Текст выноски Знак"/>
    <w:basedOn w:val="a0"/>
    <w:link w:val="a6"/>
    <w:uiPriority w:val="99"/>
    <w:semiHidden/>
    <w:rsid w:val="00265BBC"/>
    <w:rPr>
      <w:rFonts w:ascii="Tahoma" w:eastAsia="Times New Roman" w:hAnsi="Tahoma" w:cs="Tahoma"/>
      <w:sz w:val="16"/>
      <w:szCs w:val="16"/>
      <w:lang w:eastAsia="ru-RU"/>
    </w:rPr>
  </w:style>
  <w:style w:type="table" w:styleId="a8">
    <w:name w:val="Table Grid"/>
    <w:basedOn w:val="a1"/>
    <w:uiPriority w:val="59"/>
    <w:rsid w:val="00285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A328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645">
      <w:bodyDiv w:val="1"/>
      <w:marLeft w:val="0"/>
      <w:marRight w:val="0"/>
      <w:marTop w:val="0"/>
      <w:marBottom w:val="0"/>
      <w:divBdr>
        <w:top w:val="none" w:sz="0" w:space="0" w:color="auto"/>
        <w:left w:val="none" w:sz="0" w:space="0" w:color="auto"/>
        <w:bottom w:val="none" w:sz="0" w:space="0" w:color="auto"/>
        <w:right w:val="none" w:sz="0" w:space="0" w:color="auto"/>
      </w:divBdr>
    </w:div>
    <w:div w:id="562250858">
      <w:bodyDiv w:val="1"/>
      <w:marLeft w:val="0"/>
      <w:marRight w:val="0"/>
      <w:marTop w:val="0"/>
      <w:marBottom w:val="0"/>
      <w:divBdr>
        <w:top w:val="none" w:sz="0" w:space="0" w:color="auto"/>
        <w:left w:val="none" w:sz="0" w:space="0" w:color="auto"/>
        <w:bottom w:val="none" w:sz="0" w:space="0" w:color="auto"/>
        <w:right w:val="none" w:sz="0" w:space="0" w:color="auto"/>
      </w:divBdr>
    </w:div>
    <w:div w:id="6467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5BDA-B6FA-49B6-BE40-334CA4D6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5</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Головина Елена Степановна</dc:creator>
  <cp:lastModifiedBy>Головина Елена Степановна</cp:lastModifiedBy>
  <cp:revision>20</cp:revision>
  <cp:lastPrinted>2020-04-10T04:05:00Z</cp:lastPrinted>
  <dcterms:created xsi:type="dcterms:W3CDTF">2019-12-10T04:59:00Z</dcterms:created>
  <dcterms:modified xsi:type="dcterms:W3CDTF">2020-06-16T05:47:00Z</dcterms:modified>
</cp:coreProperties>
</file>