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A1" w:rsidRDefault="00B01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.4pt;margin-top:6.65pt;width:462.2pt;height:120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Надпись 2">
              <w:txbxContent>
                <w:p w:rsidR="00476CDE" w:rsidRPr="00E034A3" w:rsidRDefault="00476CDE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</w:pPr>
                  <w:r w:rsidRPr="00E034A3"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  <w:t>Статистический отчёт</w:t>
                  </w:r>
                </w:p>
                <w:p w:rsidR="00E95ED6" w:rsidRPr="00E034A3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</w:pPr>
                  <w:r w:rsidRPr="00E034A3"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  <w:t>по обращениям граждан</w:t>
                  </w:r>
                </w:p>
                <w:p w:rsidR="001C2359" w:rsidRPr="00E034A3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</w:pPr>
                  <w:r w:rsidRPr="00E034A3"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  <w:t>в Министерство социального развития и труда</w:t>
                  </w:r>
                </w:p>
                <w:p w:rsidR="00E95ED6" w:rsidRPr="00E034A3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</w:pPr>
                  <w:r w:rsidRPr="00E034A3"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  <w:t>Камчатского края</w:t>
                  </w:r>
                </w:p>
                <w:p w:rsidR="00E95ED6" w:rsidRPr="00E034A3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</w:pPr>
                  <w:r w:rsidRPr="00E034A3">
                    <w:rPr>
                      <w:rFonts w:ascii="Arial Narrow" w:hAnsi="Arial Narrow" w:cs="Times New Roman"/>
                      <w:b/>
                      <w:color w:val="8E0000"/>
                      <w:sz w:val="36"/>
                      <w:szCs w:val="36"/>
                    </w:rPr>
                    <w:t>за 1 квартал 2017 года</w:t>
                  </w:r>
                </w:p>
              </w:txbxContent>
            </v:textbox>
          </v:shape>
        </w:pict>
      </w:r>
    </w:p>
    <w:p w:rsidR="008610A1" w:rsidRDefault="008610A1"/>
    <w:p w:rsidR="008610A1" w:rsidRDefault="008610A1"/>
    <w:p w:rsidR="008610A1" w:rsidRDefault="008610A1"/>
    <w:p w:rsidR="008610A1" w:rsidRDefault="008610A1"/>
    <w:p w:rsidR="008610A1" w:rsidRDefault="00B01279">
      <w:r>
        <w:rPr>
          <w:noProof/>
        </w:rPr>
        <w:pict>
          <v:shape id="_x0000_s1027" type="#_x0000_t202" style="position:absolute;margin-left:36.9pt;margin-top:16.8pt;width:450.7pt;height:168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tbl>
                  <w:tblPr>
                    <w:tblStyle w:val="a5"/>
                    <w:tblW w:w="0" w:type="auto"/>
                    <w:tblInd w:w="534" w:type="dxa"/>
                    <w:tblBorders>
                      <w:top w:val="single" w:sz="36" w:space="0" w:color="8E0000"/>
                      <w:left w:val="single" w:sz="36" w:space="0" w:color="8E0000"/>
                      <w:bottom w:val="single" w:sz="36" w:space="0" w:color="8E0000"/>
                      <w:right w:val="single" w:sz="36" w:space="0" w:color="8E0000"/>
                      <w:insideH w:val="single" w:sz="18" w:space="0" w:color="8E0000"/>
                      <w:insideV w:val="single" w:sz="18" w:space="0" w:color="8E0000"/>
                    </w:tblBorders>
                    <w:tblLook w:val="04A0" w:firstRow="1" w:lastRow="0" w:firstColumn="1" w:lastColumn="0" w:noHBand="0" w:noVBand="1"/>
                  </w:tblPr>
                  <w:tblGrid>
                    <w:gridCol w:w="2187"/>
                    <w:gridCol w:w="2490"/>
                    <w:gridCol w:w="2758"/>
                  </w:tblGrid>
                  <w:tr w:rsidR="00BA0E45" w:rsidRPr="00E034A3" w:rsidTr="00E034A3">
                    <w:tc>
                      <w:tcPr>
                        <w:tcW w:w="2187" w:type="dxa"/>
                        <w:vMerge w:val="restart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color w:val="8E0000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Всего поступило обращений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т.ч</w:t>
                        </w:r>
                        <w:proofErr w:type="spellEnd"/>
                        <w:r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. в ходе личного приёма Министра</w:t>
                        </w:r>
                      </w:p>
                    </w:tc>
                  </w:tr>
                  <w:tr w:rsidR="00BA0E45" w:rsidRPr="00E034A3" w:rsidTr="00E034A3">
                    <w:tc>
                      <w:tcPr>
                        <w:tcW w:w="2187" w:type="dxa"/>
                        <w:vMerge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color w:val="8E0000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206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64</w:t>
                        </w:r>
                      </w:p>
                    </w:tc>
                  </w:tr>
                  <w:tr w:rsidR="00E034A3" w:rsidRPr="00E034A3" w:rsidTr="00E034A3">
                    <w:tc>
                      <w:tcPr>
                        <w:tcW w:w="2187" w:type="dxa"/>
                      </w:tcPr>
                      <w:p w:rsidR="00E034A3" w:rsidRPr="00E034A3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п</w:t>
                        </w:r>
                        <w:r w:rsidR="00E034A3"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оддержано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63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E034A3" w:rsidRPr="00E034A3" w:rsidTr="00E034A3">
                    <w:tc>
                      <w:tcPr>
                        <w:tcW w:w="2187" w:type="dxa"/>
                      </w:tcPr>
                      <w:p w:rsidR="00E034A3" w:rsidRPr="00E034A3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н</w:t>
                        </w:r>
                        <w:r w:rsidR="00E034A3"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е поддержано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E034A3" w:rsidRDefault="00E034A3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E034A3" w:rsidRDefault="00E034A3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E034A3" w:rsidRPr="00E034A3" w:rsidTr="00E034A3">
                    <w:tc>
                      <w:tcPr>
                        <w:tcW w:w="2187" w:type="dxa"/>
                      </w:tcPr>
                      <w:p w:rsidR="00E034A3" w:rsidRPr="00E034A3" w:rsidRDefault="00E034A3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 w:rsidRPr="00E034A3"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>разъяснено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E034A3" w:rsidRDefault="00E034A3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120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E034A3" w:rsidRDefault="00E034A3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 w:rsidRPr="00E034A3"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32</w:t>
                        </w:r>
                      </w:p>
                    </w:tc>
                  </w:tr>
                  <w:tr w:rsidR="00BA0E45" w:rsidRPr="00E034A3" w:rsidTr="00BA0E45">
                    <w:tc>
                      <w:tcPr>
                        <w:tcW w:w="2187" w:type="dxa"/>
                      </w:tcPr>
                      <w:p w:rsidR="00BA0E45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  <w:t xml:space="preserve">в работе </w:t>
                        </w:r>
                      </w:p>
                      <w:p w:rsidR="00BA0E45" w:rsidRPr="00E034A3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8E0000"/>
                            <w:sz w:val="28"/>
                            <w:szCs w:val="28"/>
                          </w:rPr>
                        </w:pPr>
                        <w:r w:rsidRPr="00BA0E45">
                          <w:rPr>
                            <w:rFonts w:ascii="Arial Narrow" w:hAnsi="Arial Narrow" w:cs="Arial"/>
                            <w:i/>
                            <w:color w:val="8E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 Narrow" w:hAnsi="Arial Narrow" w:cs="Arial"/>
                            <w:i/>
                            <w:color w:val="8E0000"/>
                            <w:sz w:val="20"/>
                            <w:szCs w:val="20"/>
                          </w:rPr>
                          <w:t>на 01.04.2017)</w:t>
                        </w:r>
                      </w:p>
                    </w:tc>
                    <w:tc>
                      <w:tcPr>
                        <w:tcW w:w="2490" w:type="dxa"/>
                        <w:vAlign w:val="center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758" w:type="dxa"/>
                        <w:vAlign w:val="center"/>
                      </w:tcPr>
                      <w:p w:rsidR="00BA0E45" w:rsidRPr="00E034A3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8E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E034A3" w:rsidRPr="00E034A3" w:rsidRDefault="00E034A3" w:rsidP="00E034A3">
                  <w:pPr>
                    <w:jc w:val="center"/>
                    <w:rPr>
                      <w:color w:val="8E0000"/>
                    </w:rPr>
                  </w:pPr>
                </w:p>
                <w:p w:rsidR="001C2359" w:rsidRDefault="001C2359" w:rsidP="00E034A3">
                  <w:pPr>
                    <w:jc w:val="both"/>
                  </w:pPr>
                </w:p>
                <w:p w:rsidR="001C2359" w:rsidRDefault="001C2359" w:rsidP="00E034A3">
                  <w:pPr>
                    <w:jc w:val="center"/>
                  </w:pPr>
                </w:p>
              </w:txbxContent>
            </v:textbox>
          </v:shape>
        </w:pict>
      </w:r>
    </w:p>
    <w:p w:rsidR="008610A1" w:rsidRDefault="008610A1"/>
    <w:p w:rsidR="001C2359" w:rsidRDefault="001C2359"/>
    <w:p w:rsidR="008610A1" w:rsidRDefault="008610A1"/>
    <w:p w:rsidR="008610A1" w:rsidRDefault="008610A1"/>
    <w:p w:rsidR="008610A1" w:rsidRDefault="008610A1"/>
    <w:p w:rsidR="008610A1" w:rsidRDefault="008610A1"/>
    <w:p w:rsidR="00476CDE" w:rsidRDefault="00476CDE"/>
    <w:tbl>
      <w:tblPr>
        <w:tblStyle w:val="-3"/>
        <w:tblW w:w="0" w:type="auto"/>
        <w:tblInd w:w="1384" w:type="dxa"/>
        <w:tblBorders>
          <w:top w:val="single" w:sz="24" w:space="0" w:color="9CA6B0"/>
          <w:left w:val="single" w:sz="24" w:space="0" w:color="9CA6B0"/>
          <w:bottom w:val="single" w:sz="24" w:space="0" w:color="9CA6B0"/>
          <w:right w:val="single" w:sz="24" w:space="0" w:color="9CA6B0"/>
          <w:insideH w:val="single" w:sz="24" w:space="0" w:color="9CA6B0"/>
          <w:insideV w:val="single" w:sz="24" w:space="0" w:color="9CA6B0"/>
        </w:tblBorders>
        <w:tblLook w:val="04A0" w:firstRow="1" w:lastRow="0" w:firstColumn="1" w:lastColumn="0" w:noHBand="0" w:noVBand="1"/>
      </w:tblPr>
      <w:tblGrid>
        <w:gridCol w:w="6095"/>
        <w:gridCol w:w="1418"/>
      </w:tblGrid>
      <w:tr w:rsidR="000B213B" w:rsidRPr="000B213B" w:rsidTr="009A4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B213B" w:rsidRPr="000B213B" w:rsidRDefault="000B213B" w:rsidP="000B213B">
            <w:pPr>
              <w:contextualSpacing/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>Поступили через П</w:t>
            </w:r>
            <w:r w:rsidRPr="000B213B"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>равительство Камчатского края</w:t>
            </w:r>
            <w:r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B213B" w:rsidRPr="000B213B" w:rsidRDefault="000B213B" w:rsidP="000B2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13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88</w:t>
            </w:r>
          </w:p>
        </w:tc>
      </w:tr>
    </w:tbl>
    <w:p w:rsidR="003D24DA" w:rsidRDefault="003D24DA"/>
    <w:p w:rsidR="00BA0E45" w:rsidRDefault="00BA0E45" w:rsidP="00BA0E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77F7">
        <w:rPr>
          <w:rFonts w:ascii="Times New Roman" w:hAnsi="Times New Roman" w:cs="Times New Roman"/>
          <w:sz w:val="28"/>
          <w:szCs w:val="28"/>
        </w:rPr>
        <w:t xml:space="preserve">сего в Министерстве социального развития и труда Камчатского края за отчётный период зарегистрировано 206 обращений.  По количеству обращений, лидируют </w:t>
      </w:r>
      <w:r w:rsidRPr="002E7EA9">
        <w:rPr>
          <w:rFonts w:ascii="Times New Roman" w:hAnsi="Times New Roman" w:cs="Times New Roman"/>
          <w:sz w:val="28"/>
          <w:szCs w:val="28"/>
        </w:rPr>
        <w:t xml:space="preserve">краевой центр (117),  Елизовский муниципальный район (МР) (22),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-Большерецкий МР (13),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МР (10),  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-Камчатский МР (9), ЗАТО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(6)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МР (5). Из остальных муниципальных районов поступило до 3 обращений.</w:t>
      </w:r>
    </w:p>
    <w:p w:rsidR="00BA0E45" w:rsidRPr="002E7EA9" w:rsidRDefault="00BA0E45" w:rsidP="00BA0E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DE" w:rsidRDefault="00B01279" w:rsidP="003D24DA">
      <w:pPr>
        <w:ind w:left="-426" w:firstLine="425"/>
      </w:pPr>
      <w:r>
        <w:rPr>
          <w:noProof/>
          <w:lang w:eastAsia="ru-RU"/>
        </w:rPr>
        <w:pict>
          <v:rect id="_x0000_s1028" style="position:absolute;left:0;text-align:left;margin-left:-2.8pt;margin-top:12.95pt;width:190.55pt;height:82.05pt;z-index:251662336" filled="f" stroked="f"/>
        </w:pict>
      </w:r>
      <w:r w:rsidR="00F216E2">
        <w:rPr>
          <w:noProof/>
          <w:lang w:eastAsia="ru-RU"/>
        </w:rPr>
        <w:drawing>
          <wp:inline distT="0" distB="0" distL="0" distR="0" wp14:anchorId="4665B599" wp14:editId="46F4813A">
            <wp:extent cx="6430658" cy="3015334"/>
            <wp:effectExtent l="0" t="0" r="0" b="0"/>
            <wp:docPr id="2" name="Рисунок 2" descr="C:\Users\USER\Pictures\АЛЁНКА\133aed58-b2d1-46e5-80c5-fdfdf257d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АЛЁНКА\133aed58-b2d1-46e5-80c5-fdfdf257d3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25" cy="303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45" w:rsidRPr="00364AC7" w:rsidRDefault="00BA0E45" w:rsidP="00BA0E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C7">
        <w:rPr>
          <w:rFonts w:ascii="Times New Roman" w:hAnsi="Times New Roman" w:cs="Times New Roman"/>
          <w:sz w:val="28"/>
          <w:szCs w:val="28"/>
        </w:rPr>
        <w:lastRenderedPageBreak/>
        <w:t>Преобладают обращения по вопросам трудовых отношений и заработной платы (65), об определении в дома-интернаты (29), о мерах соц. поддержки (26), о вопросах реабилитации инвалидов и улучшении их «доступной среды»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64A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0E45" w:rsidRDefault="00BA0E45" w:rsidP="00BA0E4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092">
        <w:rPr>
          <w:rFonts w:ascii="Times New Roman" w:hAnsi="Times New Roman" w:cs="Times New Roman"/>
          <w:sz w:val="28"/>
          <w:szCs w:val="28"/>
        </w:rPr>
        <w:t>Из  общего</w:t>
      </w:r>
      <w:proofErr w:type="gramEnd"/>
      <w:r w:rsidRPr="00206092">
        <w:rPr>
          <w:rFonts w:ascii="Times New Roman" w:hAnsi="Times New Roman" w:cs="Times New Roman"/>
          <w:sz w:val="28"/>
          <w:szCs w:val="28"/>
        </w:rPr>
        <w:t xml:space="preserve"> числа обращений – 101 принадлежит пенсионерам, в том числе 42 инвалидам, 11 - инвалидам, не достигшим пенсионного возраста;  </w:t>
      </w:r>
      <w:r w:rsidRPr="0070690D">
        <w:rPr>
          <w:rFonts w:ascii="Times New Roman" w:hAnsi="Times New Roman" w:cs="Times New Roman"/>
          <w:sz w:val="28"/>
          <w:szCs w:val="28"/>
        </w:rPr>
        <w:t xml:space="preserve">25 заявителей  имеют несовершеннолетних детей, в </w:t>
      </w:r>
      <w:proofErr w:type="spellStart"/>
      <w:r w:rsidRPr="007069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690D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0D">
        <w:rPr>
          <w:rFonts w:ascii="Times New Roman" w:hAnsi="Times New Roman" w:cs="Times New Roman"/>
          <w:sz w:val="28"/>
          <w:szCs w:val="28"/>
        </w:rPr>
        <w:t xml:space="preserve">- многодетные,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–родители одиноко воспитывающие детей</w:t>
      </w:r>
      <w:r w:rsidRPr="0070690D">
        <w:rPr>
          <w:rFonts w:ascii="Times New Roman" w:hAnsi="Times New Roman" w:cs="Times New Roman"/>
          <w:sz w:val="28"/>
          <w:szCs w:val="28"/>
        </w:rPr>
        <w:t>;  5 – с детьми-инвалидами.</w:t>
      </w:r>
    </w:p>
    <w:p w:rsidR="00BA0E45" w:rsidRPr="0070690D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A0E45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заявителей проживают в городах, 45 – в сельской местности, вид места жительства 11 авторов не определён.</w:t>
      </w:r>
    </w:p>
    <w:p w:rsidR="00BA0E45" w:rsidRPr="00001D52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A0E45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Применяются проверки обращений с выездом на место</w:t>
      </w:r>
      <w:r>
        <w:rPr>
          <w:rFonts w:ascii="Times New Roman" w:hAnsi="Times New Roman" w:cs="Times New Roman"/>
          <w:sz w:val="28"/>
          <w:szCs w:val="28"/>
        </w:rPr>
        <w:t>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DA" w:rsidRDefault="003D24DA" w:rsidP="003D24DA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</w:p>
    <w:p w:rsidR="006E3ED4" w:rsidRDefault="003D24DA" w:rsidP="003D24DA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  <w:r w:rsidRPr="003D24DA">
        <w:rPr>
          <w:rFonts w:ascii="Times New Roman" w:hAnsi="Times New Roman" w:cs="Times New Roman"/>
          <w:b/>
          <w:i/>
          <w:color w:val="8E0000"/>
          <w:sz w:val="32"/>
          <w:szCs w:val="32"/>
        </w:rPr>
        <w:t>Кроме отражённых в таблице обращений, в 1 квартале 2017 года поступило 3870 заявлений об</w:t>
      </w:r>
      <w:r w:rsidR="00231135">
        <w:rPr>
          <w:rFonts w:ascii="Times New Roman" w:hAnsi="Times New Roman" w:cs="Times New Roman"/>
          <w:b/>
          <w:i/>
          <w:color w:val="8E0000"/>
          <w:sz w:val="32"/>
          <w:szCs w:val="32"/>
        </w:rPr>
        <w:t xml:space="preserve"> оказании государственных услуг:</w:t>
      </w:r>
    </w:p>
    <w:p w:rsidR="00231135" w:rsidRDefault="00231135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</w:p>
    <w:p w:rsidR="00231135" w:rsidRDefault="00231135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9F8E57" wp14:editId="4A2488BB">
            <wp:extent cx="6085840" cy="3810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3ED4" w:rsidRPr="003D24DA" w:rsidRDefault="006E3ED4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</w:p>
    <w:p w:rsidR="00476CDE" w:rsidRPr="003D24DA" w:rsidRDefault="00476CDE" w:rsidP="00F26E63">
      <w:pPr>
        <w:ind w:firstLine="142"/>
        <w:rPr>
          <w:sz w:val="32"/>
          <w:szCs w:val="32"/>
        </w:rPr>
      </w:pPr>
    </w:p>
    <w:p w:rsidR="008610A1" w:rsidRDefault="008610A1"/>
    <w:p w:rsidR="00AB6581" w:rsidRDefault="00AB6581"/>
    <w:p w:rsidR="00E95ED6" w:rsidRDefault="00E95ED6">
      <w:bookmarkStart w:id="0" w:name="_GoBack"/>
      <w:bookmarkEnd w:id="0"/>
    </w:p>
    <w:sectPr w:rsidR="00E95ED6" w:rsidSect="00BA0E4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0A1"/>
    <w:rsid w:val="000B213B"/>
    <w:rsid w:val="001C2359"/>
    <w:rsid w:val="00231135"/>
    <w:rsid w:val="00365061"/>
    <w:rsid w:val="003D24DA"/>
    <w:rsid w:val="00476CDE"/>
    <w:rsid w:val="006E3ED4"/>
    <w:rsid w:val="00756E84"/>
    <w:rsid w:val="008610A1"/>
    <w:rsid w:val="008A3255"/>
    <w:rsid w:val="008F5B49"/>
    <w:rsid w:val="00964AFE"/>
    <w:rsid w:val="009A4945"/>
    <w:rsid w:val="00AA567A"/>
    <w:rsid w:val="00AB6581"/>
    <w:rsid w:val="00B01279"/>
    <w:rsid w:val="00BA0E45"/>
    <w:rsid w:val="00E034A3"/>
    <w:rsid w:val="00E95ED6"/>
    <w:rsid w:val="00F216E2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212ABB2-913B-43DD-BBD5-51BA91C8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A1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1C2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E0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946906871382868E-2"/>
          <c:y val="4.7052755905511813E-2"/>
          <c:w val="0.96427344013928951"/>
          <c:h val="0.93288076081915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 w="19050">
              <a:solidFill>
                <a:srgbClr val="7030A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Лист1!$A$1:$F$1</c:f>
              <c:numCache>
                <c:formatCode>General</c:formatCode>
                <c:ptCount val="6"/>
                <c:pt idx="0">
                  <c:v>3341</c:v>
                </c:pt>
                <c:pt idx="1">
                  <c:v>221</c:v>
                </c:pt>
                <c:pt idx="2">
                  <c:v>142</c:v>
                </c:pt>
                <c:pt idx="3">
                  <c:v>91</c:v>
                </c:pt>
                <c:pt idx="4">
                  <c:v>48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overlap val="2"/>
        <c:axId val="306389744"/>
        <c:axId val="306390128"/>
      </c:barChart>
      <c:catAx>
        <c:axId val="306389744"/>
        <c:scaling>
          <c:orientation val="minMax"/>
        </c:scaling>
        <c:delete val="1"/>
        <c:axPos val="l"/>
        <c:majorTickMark val="out"/>
        <c:minorTickMark val="none"/>
        <c:tickLblPos val="nextTo"/>
        <c:crossAx val="306390128"/>
        <c:crosses val="autoZero"/>
        <c:auto val="1"/>
        <c:lblAlgn val="ctr"/>
        <c:lblOffset val="100"/>
        <c:noMultiLvlLbl val="0"/>
      </c:catAx>
      <c:valAx>
        <c:axId val="306390128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06389744"/>
        <c:crosses val="autoZero"/>
        <c:crossBetween val="between"/>
      </c:valAx>
      <c:spPr>
        <a:pattFill prst="dotGrid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57150">
          <a:solidFill>
            <a:srgbClr val="B4DE86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bg1"/>
      </a:solidFill>
    </a:ln>
    <a:scene3d>
      <a:camera prst="orthographicFront"/>
      <a:lightRig rig="threePt" dir="t"/>
    </a:scene3d>
    <a:sp3d>
      <a:bevelB w="139700" prst="cross"/>
    </a:sp3d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0.09878</cdr:x>
      <cdr:y>0.84507</cdr:y>
    </cdr:from>
    <cdr:to>
      <cdr:x>0.47516</cdr:x>
      <cdr:y>0.92623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07719" y="3398431"/>
          <a:ext cx="2315683" cy="3263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Об оказании единовременной материальной помощи</a:t>
          </a:r>
        </a:p>
      </cdr:txBody>
    </cdr:sp>
  </cdr:relSizeAnchor>
  <cdr:relSizeAnchor xmlns:cdr="http://schemas.openxmlformats.org/drawingml/2006/chartDrawing">
    <cdr:from>
      <cdr:x>0.14497</cdr:x>
      <cdr:y>0.70702</cdr:y>
    </cdr:from>
    <cdr:to>
      <cdr:x>0.24347</cdr:x>
      <cdr:y>0.79583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91916" y="2843265"/>
          <a:ext cx="606023" cy="357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выдаче удостоверений о статусе многодетной семьи</a:t>
          </a:r>
        </a:p>
      </cdr:txBody>
    </cdr:sp>
  </cdr:relSizeAnchor>
  <cdr:relSizeAnchor xmlns:cdr="http://schemas.openxmlformats.org/drawingml/2006/chartDrawing">
    <cdr:from>
      <cdr:x>0.14143</cdr:x>
      <cdr:y>0.09076</cdr:y>
    </cdr:from>
    <cdr:to>
      <cdr:x>0.23993</cdr:x>
      <cdr:y>0.15284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0136" y="364981"/>
          <a:ext cx="606023" cy="249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предоставлении   социальной выплаты   на</a:t>
          </a:r>
          <a:r>
            <a:rPr lang="ru-RU" sz="1100" baseline="0">
              <a:latin typeface="Arial" panose="020B0604020202020204" pitchFamily="34" charset="0"/>
              <a:cs typeface="Arial" panose="020B0604020202020204" pitchFamily="34" charset="0"/>
            </a:rPr>
            <a:t> обустройство жилого </a:t>
          </a:r>
        </a:p>
        <a:p xmlns:a="http://schemas.openxmlformats.org/drawingml/2006/main">
          <a:r>
            <a:rPr lang="ru-RU" sz="1100" baseline="0">
              <a:latin typeface="Arial" panose="020B0604020202020204" pitchFamily="34" charset="0"/>
              <a:cs typeface="Arial" panose="020B0604020202020204" pitchFamily="34" charset="0"/>
            </a:rPr>
            <a:t>   помещения   гражданам из числа сирот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0.14838</cdr:x>
      <cdr:y>0.41808</cdr:y>
    </cdr:from>
    <cdr:to>
      <cdr:x>0.24688</cdr:x>
      <cdr:y>0.4725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12921" y="1681306"/>
          <a:ext cx="606023" cy="218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материальной помощи на оплату гостиничных услуг</a:t>
          </a:r>
        </a:p>
      </cdr:txBody>
    </cdr:sp>
  </cdr:relSizeAnchor>
  <cdr:relSizeAnchor xmlns:cdr="http://schemas.openxmlformats.org/drawingml/2006/chartDrawing">
    <cdr:from>
      <cdr:x>0.14697</cdr:x>
      <cdr:y>0.24674</cdr:y>
    </cdr:from>
    <cdr:to>
      <cdr:x>0.24753</cdr:x>
      <cdr:y>0.31647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904240" y="992240"/>
          <a:ext cx="618711" cy="2804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регистрации коллективных договоров</a:t>
          </a:r>
        </a:p>
      </cdr:txBody>
    </cdr:sp>
  </cdr:relSizeAnchor>
  <cdr:relSizeAnchor xmlns:cdr="http://schemas.openxmlformats.org/drawingml/2006/chartDrawing">
    <cdr:from>
      <cdr:x>0.14773</cdr:x>
      <cdr:y>0.55705</cdr:y>
    </cdr:from>
    <cdr:to>
      <cdr:x>0.24623</cdr:x>
      <cdr:y>0.62372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908914" y="2240155"/>
          <a:ext cx="606022" cy="268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предоставлении регионального материнского капитала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Петухов Александр Владимирович</cp:lastModifiedBy>
  <cp:revision>3</cp:revision>
  <cp:lastPrinted>2017-04-11T01:37:00Z</cp:lastPrinted>
  <dcterms:created xsi:type="dcterms:W3CDTF">2017-04-27T22:08:00Z</dcterms:created>
  <dcterms:modified xsi:type="dcterms:W3CDTF">2017-04-27T22:46:00Z</dcterms:modified>
</cp:coreProperties>
</file>